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CEF27D" w14:textId="2CB72E89" w:rsidR="00642BD3" w:rsidRPr="00DE4417" w:rsidRDefault="00642BD3" w:rsidP="00642BD3">
      <w:pPr>
        <w:tabs>
          <w:tab w:val="center" w:pos="4153"/>
          <w:tab w:val="right" w:pos="9923"/>
        </w:tabs>
        <w:spacing w:after="120" w:line="240" w:lineRule="auto"/>
        <w:jc w:val="both"/>
        <w:rPr>
          <w:rFonts w:eastAsia="Malgun Gothic"/>
          <w:b/>
          <w:bCs/>
          <w:sz w:val="28"/>
          <w:lang w:val="en-GB" w:eastAsia="ko-KR"/>
        </w:rPr>
      </w:pPr>
      <w:r w:rsidRPr="00DE4417">
        <w:rPr>
          <w:rFonts w:eastAsia="Malgun Gothic"/>
          <w:b/>
          <w:bCs/>
          <w:sz w:val="28"/>
          <w:lang w:val="en-GB"/>
        </w:rPr>
        <w:t>3GPP TSG RAN WG4 Meeting #</w:t>
      </w:r>
      <w:r>
        <w:rPr>
          <w:rFonts w:eastAsia="Malgun Gothic"/>
          <w:b/>
          <w:bCs/>
          <w:sz w:val="28"/>
          <w:lang w:val="en-GB"/>
        </w:rPr>
        <w:t>86</w:t>
      </w:r>
      <w:r w:rsidRPr="00DE4417">
        <w:rPr>
          <w:rFonts w:eastAsia="Malgun Gothic"/>
          <w:b/>
          <w:bCs/>
          <w:sz w:val="28"/>
          <w:lang w:val="en-GB" w:eastAsia="ko-KR"/>
        </w:rPr>
        <w:tab/>
      </w:r>
      <w:r w:rsidR="00373FF2" w:rsidRPr="00373FF2">
        <w:rPr>
          <w:rFonts w:eastAsia="Malgun Gothic"/>
          <w:b/>
          <w:bCs/>
          <w:sz w:val="28"/>
          <w:lang w:val="en-GB"/>
        </w:rPr>
        <w:t>R4-1802334</w:t>
      </w:r>
    </w:p>
    <w:p w14:paraId="0D3983F9" w14:textId="77777777" w:rsidR="00642BD3" w:rsidRPr="00DE4417" w:rsidRDefault="00642BD3" w:rsidP="00642BD3">
      <w:pPr>
        <w:pBdr>
          <w:bottom w:val="single" w:sz="6" w:space="1" w:color="auto"/>
        </w:pBdr>
        <w:tabs>
          <w:tab w:val="center" w:pos="4153"/>
          <w:tab w:val="right" w:pos="8306"/>
          <w:tab w:val="right" w:pos="9356"/>
        </w:tabs>
        <w:spacing w:after="120" w:line="240" w:lineRule="auto"/>
        <w:rPr>
          <w:rFonts w:eastAsia="Malgun Gothic"/>
          <w:b/>
          <w:bCs/>
          <w:sz w:val="28"/>
          <w:lang w:val="en-GB" w:eastAsia="ko-KR"/>
        </w:rPr>
      </w:pPr>
      <w:r>
        <w:rPr>
          <w:rFonts w:eastAsia="Malgun Gothic"/>
          <w:b/>
          <w:bCs/>
          <w:sz w:val="28"/>
          <w:lang w:val="en-GB" w:eastAsia="ko-KR"/>
        </w:rPr>
        <w:t>Athens</w:t>
      </w:r>
      <w:r w:rsidRPr="00DE4417">
        <w:rPr>
          <w:rFonts w:eastAsia="Malgun Gothic"/>
          <w:b/>
          <w:bCs/>
          <w:sz w:val="28"/>
          <w:lang w:val="en-GB" w:eastAsia="ko-KR"/>
        </w:rPr>
        <w:t xml:space="preserve">, </w:t>
      </w:r>
      <w:r>
        <w:rPr>
          <w:rFonts w:eastAsia="Malgun Gothic"/>
          <w:b/>
          <w:bCs/>
          <w:sz w:val="28"/>
          <w:lang w:val="en-GB" w:eastAsia="ko-KR"/>
        </w:rPr>
        <w:t>Greece</w:t>
      </w:r>
      <w:r w:rsidRPr="00DE4417">
        <w:rPr>
          <w:rFonts w:eastAsia="Malgun Gothic"/>
          <w:b/>
          <w:bCs/>
          <w:sz w:val="28"/>
          <w:lang w:val="en-GB" w:eastAsia="ko-KR"/>
        </w:rPr>
        <w:t>, 2</w:t>
      </w:r>
      <w:r>
        <w:rPr>
          <w:rFonts w:eastAsia="Malgun Gothic"/>
          <w:b/>
          <w:bCs/>
          <w:sz w:val="28"/>
          <w:lang w:val="en-GB" w:eastAsia="ko-KR"/>
        </w:rPr>
        <w:t>6 February</w:t>
      </w:r>
      <w:r w:rsidRPr="00DE4417">
        <w:rPr>
          <w:rFonts w:eastAsia="Malgun Gothic"/>
          <w:b/>
          <w:bCs/>
          <w:sz w:val="28"/>
          <w:lang w:val="en-GB" w:eastAsia="ko-KR"/>
        </w:rPr>
        <w:t xml:space="preserve"> - </w:t>
      </w:r>
      <w:r>
        <w:rPr>
          <w:rFonts w:eastAsia="Malgun Gothic"/>
          <w:b/>
          <w:bCs/>
          <w:sz w:val="28"/>
          <w:lang w:val="en-GB" w:eastAsia="ko-KR"/>
        </w:rPr>
        <w:t>2 March</w:t>
      </w:r>
      <w:r w:rsidRPr="00DE4417">
        <w:rPr>
          <w:rFonts w:eastAsia="Malgun Gothic"/>
          <w:b/>
          <w:bCs/>
          <w:sz w:val="28"/>
          <w:lang w:val="en-GB" w:eastAsia="ko-KR"/>
        </w:rPr>
        <w:t xml:space="preserve"> 2018</w:t>
      </w:r>
    </w:p>
    <w:p w14:paraId="7288A3C6" w14:textId="77777777" w:rsidR="00642BD3" w:rsidRPr="00DE4417" w:rsidRDefault="00642BD3" w:rsidP="00642BD3">
      <w:pPr>
        <w:rPr>
          <w:bCs/>
          <w:lang w:val="en-GB"/>
        </w:rPr>
      </w:pPr>
      <w:r w:rsidRPr="00DE4417">
        <w:rPr>
          <w:b/>
          <w:lang w:val="en-GB"/>
        </w:rPr>
        <w:t>Source:</w:t>
      </w:r>
      <w:r w:rsidRPr="00DE4417">
        <w:rPr>
          <w:b/>
          <w:lang w:val="en-GB"/>
        </w:rPr>
        <w:tab/>
      </w:r>
      <w:r w:rsidRPr="00DE4417">
        <w:rPr>
          <w:b/>
          <w:lang w:val="en-GB"/>
        </w:rPr>
        <w:tab/>
      </w:r>
      <w:r>
        <w:rPr>
          <w:lang w:val="en-GB"/>
        </w:rPr>
        <w:t xml:space="preserve">Rohde &amp; </w:t>
      </w:r>
      <w:r w:rsidRPr="00DE4417">
        <w:rPr>
          <w:lang w:val="en-GB"/>
        </w:rPr>
        <w:t>Schwarz</w:t>
      </w:r>
    </w:p>
    <w:p w14:paraId="7EFFC53B" w14:textId="36E75DA1" w:rsidR="00642BD3" w:rsidRPr="00DE4417" w:rsidRDefault="00642BD3" w:rsidP="00642BD3">
      <w:pPr>
        <w:ind w:left="2160" w:hanging="2160"/>
        <w:rPr>
          <w:b/>
          <w:lang w:val="en-GB"/>
        </w:rPr>
      </w:pPr>
      <w:r w:rsidRPr="00DE4417">
        <w:rPr>
          <w:b/>
          <w:lang w:val="en-GB"/>
        </w:rPr>
        <w:t>Title:</w:t>
      </w:r>
      <w:r w:rsidRPr="00DE4417">
        <w:rPr>
          <w:b/>
          <w:lang w:val="en-GB"/>
        </w:rPr>
        <w:tab/>
      </w:r>
      <w:r w:rsidR="001D707D">
        <w:rPr>
          <w:lang w:val="en-GB"/>
        </w:rPr>
        <w:t xml:space="preserve">On </w:t>
      </w:r>
      <w:r w:rsidR="00E4028B">
        <w:rPr>
          <w:lang w:val="en-GB"/>
        </w:rPr>
        <w:t>Testing REFSENS</w:t>
      </w:r>
      <w:r w:rsidR="00373FF2">
        <w:rPr>
          <w:lang w:val="en-GB"/>
        </w:rPr>
        <w:t xml:space="preserve"> for FR2</w:t>
      </w:r>
    </w:p>
    <w:p w14:paraId="353E74A0" w14:textId="38C14BAD" w:rsidR="00642BD3" w:rsidRPr="00DE4417" w:rsidRDefault="00642BD3" w:rsidP="00642BD3">
      <w:pPr>
        <w:rPr>
          <w:bCs/>
          <w:lang w:val="en-GB" w:eastAsia="ja-JP"/>
        </w:rPr>
      </w:pPr>
      <w:r w:rsidRPr="00DE4417">
        <w:rPr>
          <w:b/>
          <w:lang w:val="en-GB"/>
        </w:rPr>
        <w:t>Agenda Item:</w:t>
      </w:r>
      <w:r w:rsidRPr="00DE4417">
        <w:rPr>
          <w:lang w:val="en-GB"/>
        </w:rPr>
        <w:tab/>
      </w:r>
      <w:r w:rsidRPr="00DE4417">
        <w:rPr>
          <w:lang w:val="en-GB"/>
        </w:rPr>
        <w:tab/>
      </w:r>
      <w:r w:rsidR="00DD230A">
        <w:rPr>
          <w:lang w:val="en-GB"/>
        </w:rPr>
        <w:t>7.4.1</w:t>
      </w:r>
      <w:r w:rsidR="00373FF2">
        <w:rPr>
          <w:lang w:val="en-GB"/>
        </w:rPr>
        <w:t>2</w:t>
      </w:r>
    </w:p>
    <w:p w14:paraId="380CF245" w14:textId="77777777" w:rsidR="00642BD3" w:rsidRPr="00DE4417" w:rsidRDefault="00642BD3" w:rsidP="00642BD3">
      <w:pPr>
        <w:rPr>
          <w:sz w:val="18"/>
          <w:szCs w:val="18"/>
          <w:lang w:val="en-GB"/>
        </w:rPr>
      </w:pPr>
      <w:r w:rsidRPr="00DE4417">
        <w:rPr>
          <w:b/>
          <w:lang w:val="en-GB"/>
        </w:rPr>
        <w:t>Document for:</w:t>
      </w:r>
      <w:r w:rsidRPr="00DE4417">
        <w:rPr>
          <w:lang w:val="en-GB"/>
        </w:rPr>
        <w:tab/>
        <w:t>Approval</w:t>
      </w:r>
    </w:p>
    <w:p w14:paraId="7CA60390" w14:textId="77777777" w:rsidR="00B81FC7" w:rsidRPr="00783B2D" w:rsidRDefault="00B81FC7" w:rsidP="00B81FC7">
      <w:pPr>
        <w:pStyle w:val="Heading1"/>
        <w:rPr>
          <w:rFonts w:cs="Arial"/>
        </w:rPr>
      </w:pPr>
      <w:r w:rsidRPr="00783B2D">
        <w:rPr>
          <w:rFonts w:cs="Arial"/>
        </w:rPr>
        <w:t>Introduction</w:t>
      </w:r>
    </w:p>
    <w:p w14:paraId="1D922F53" w14:textId="3B805660" w:rsidR="005F37CF" w:rsidRPr="00783B2D" w:rsidRDefault="007913E8" w:rsidP="008159B1">
      <w:pPr>
        <w:jc w:val="both"/>
        <w:rPr>
          <w:lang w:val="en-GB"/>
        </w:rPr>
      </w:pPr>
      <w:bookmarkStart w:id="0" w:name="OLE_LINK10"/>
      <w:bookmarkStart w:id="1" w:name="OLE_LINK11"/>
      <w:r>
        <w:rPr>
          <w:lang w:val="en-GB"/>
        </w:rPr>
        <w:t xml:space="preserve">This contribution </w:t>
      </w:r>
      <w:r w:rsidR="00BD66D7">
        <w:rPr>
          <w:lang w:val="en-GB"/>
        </w:rPr>
        <w:t>proposes an approach to measure REFSENS</w:t>
      </w:r>
      <w:r>
        <w:rPr>
          <w:lang w:val="en-GB"/>
        </w:rPr>
        <w:t xml:space="preserve">. </w:t>
      </w:r>
    </w:p>
    <w:p w14:paraId="59D92B3E" w14:textId="3BB7CC8E" w:rsidR="00FC45FA" w:rsidRPr="00783B2D" w:rsidRDefault="002A659B" w:rsidP="00FC45FA">
      <w:pPr>
        <w:pStyle w:val="Heading1"/>
        <w:rPr>
          <w:rFonts w:cs="Arial"/>
        </w:rPr>
      </w:pPr>
      <w:r w:rsidRPr="00783B2D">
        <w:rPr>
          <w:rFonts w:cs="Arial"/>
        </w:rPr>
        <w:t>Discussion</w:t>
      </w:r>
    </w:p>
    <w:p w14:paraId="43585988" w14:textId="4CD3CF75" w:rsidR="002B6956" w:rsidRDefault="007913E8" w:rsidP="00D821C8">
      <w:pPr>
        <w:rPr>
          <w:lang w:val="en-GB"/>
        </w:rPr>
      </w:pPr>
      <w:r>
        <w:rPr>
          <w:lang w:val="en-GB"/>
        </w:rPr>
        <w:t>In</w:t>
      </w:r>
      <w:r w:rsidRPr="00783B2D">
        <w:rPr>
          <w:lang w:val="en-GB"/>
        </w:rPr>
        <w:t xml:space="preserve"> RAN4#</w:t>
      </w:r>
      <w:r>
        <w:rPr>
          <w:lang w:val="en-GB"/>
        </w:rPr>
        <w:t>1801AH</w:t>
      </w:r>
      <w:r w:rsidRPr="00783B2D">
        <w:rPr>
          <w:lang w:val="en-GB"/>
        </w:rPr>
        <w:t xml:space="preserve">, the group </w:t>
      </w:r>
      <w:r>
        <w:rPr>
          <w:lang w:val="en-GB"/>
        </w:rPr>
        <w:t xml:space="preserve">agreed to define the peak direction for EIRP based on the direction where the total EIRP, i.e., the combination of the two EIRPs measured at orthogonal polarizations, is maximized </w:t>
      </w:r>
      <w:r>
        <w:rPr>
          <w:lang w:val="en-GB"/>
        </w:rPr>
        <w:fldChar w:fldCharType="begin"/>
      </w:r>
      <w:r>
        <w:rPr>
          <w:lang w:val="en-GB"/>
        </w:rPr>
        <w:instrText xml:space="preserve"> REF _Ref506467810 \r \h </w:instrText>
      </w:r>
      <w:r>
        <w:rPr>
          <w:lang w:val="en-GB"/>
        </w:rPr>
      </w:r>
      <w:r>
        <w:rPr>
          <w:lang w:val="en-GB"/>
        </w:rPr>
        <w:fldChar w:fldCharType="separate"/>
      </w:r>
      <w:r>
        <w:rPr>
          <w:lang w:val="en-GB"/>
        </w:rPr>
        <w:t>[1]</w:t>
      </w:r>
      <w:r>
        <w:rPr>
          <w:lang w:val="en-GB"/>
        </w:rPr>
        <w:fldChar w:fldCharType="end"/>
      </w:r>
      <w:r>
        <w:rPr>
          <w:lang w:val="en-GB"/>
        </w:rPr>
        <w:t xml:space="preserve">. </w:t>
      </w:r>
      <w:r w:rsidR="00B765D7">
        <w:rPr>
          <w:lang w:val="en-GB"/>
        </w:rPr>
        <w:t>It was furthermore agreed to define the peak direction for REFSENS based on the same approach</w:t>
      </w:r>
      <w:r w:rsidR="009F7305">
        <w:rPr>
          <w:lang w:val="en-GB"/>
        </w:rPr>
        <w:t>, i.e., based on the total component</w:t>
      </w:r>
      <w:r w:rsidR="00025F69">
        <w:rPr>
          <w:lang w:val="en-GB"/>
        </w:rPr>
        <w:t xml:space="preserve"> of </w:t>
      </w:r>
      <w:r w:rsidR="00660959">
        <w:rPr>
          <w:lang w:val="en-GB"/>
        </w:rPr>
        <w:t>RSRP</w:t>
      </w:r>
      <w:r w:rsidR="00CA1496">
        <w:rPr>
          <w:lang w:val="en-GB"/>
        </w:rPr>
        <w:t>/EIS</w:t>
      </w:r>
      <w:r w:rsidR="00025F69">
        <w:rPr>
          <w:lang w:val="en-GB"/>
        </w:rPr>
        <w:t xml:space="preserve">. </w:t>
      </w:r>
    </w:p>
    <w:p w14:paraId="6348C7D2" w14:textId="7A0D2E6A" w:rsidR="00C249DE" w:rsidRDefault="00BD66D7" w:rsidP="00BD66D7">
      <w:pPr>
        <w:pStyle w:val="Heading2"/>
        <w:rPr>
          <w:lang w:val="en-US"/>
        </w:rPr>
      </w:pPr>
      <w:bookmarkStart w:id="2" w:name="OLE_LINK3"/>
      <w:bookmarkStart w:id="3" w:name="OLE_LINK4"/>
      <w:bookmarkStart w:id="4" w:name="OLE_LINK41"/>
      <w:r>
        <w:rPr>
          <w:lang w:val="en-US"/>
        </w:rPr>
        <w:t xml:space="preserve">Definition of </w:t>
      </w:r>
      <w:r w:rsidRPr="00BD66D7">
        <w:rPr>
          <w:lang w:val="en-US"/>
        </w:rPr>
        <w:t>Reference sensitivity power level</w:t>
      </w:r>
    </w:p>
    <w:bookmarkEnd w:id="2"/>
    <w:bookmarkEnd w:id="3"/>
    <w:bookmarkEnd w:id="4"/>
    <w:p w14:paraId="4A6133F5" w14:textId="7C5BF94B" w:rsidR="00D821C8" w:rsidRPr="00783B2D" w:rsidRDefault="00FC44BE" w:rsidP="00D821C8">
      <w:pPr>
        <w:rPr>
          <w:lang w:val="en-GB" w:eastAsia="en-US"/>
        </w:rPr>
      </w:pPr>
      <w:r w:rsidRPr="00783B2D">
        <w:rPr>
          <w:lang w:val="en-GB" w:eastAsia="en-US"/>
        </w:rPr>
        <w:t xml:space="preserve">Reference sensitivity is defined in Clause 7.3 of </w:t>
      </w:r>
      <w:r w:rsidR="00BD66D7">
        <w:rPr>
          <w:lang w:val="en-GB" w:eastAsia="en-US"/>
        </w:rPr>
        <w:fldChar w:fldCharType="begin"/>
      </w:r>
      <w:r w:rsidR="00BD66D7">
        <w:rPr>
          <w:lang w:val="en-GB" w:eastAsia="en-US"/>
        </w:rPr>
        <w:instrText xml:space="preserve"> REF _Ref506468012 \r \h </w:instrText>
      </w:r>
      <w:r w:rsidR="00BD66D7">
        <w:rPr>
          <w:lang w:val="en-GB" w:eastAsia="en-US"/>
        </w:rPr>
      </w:r>
      <w:r w:rsidR="00BD66D7">
        <w:rPr>
          <w:lang w:val="en-GB" w:eastAsia="en-US"/>
        </w:rPr>
        <w:fldChar w:fldCharType="separate"/>
      </w:r>
      <w:r w:rsidR="00BD66D7">
        <w:rPr>
          <w:lang w:val="en-GB" w:eastAsia="en-US"/>
        </w:rPr>
        <w:t>[2]</w:t>
      </w:r>
      <w:r w:rsidR="00BD66D7">
        <w:rPr>
          <w:lang w:val="en-GB" w:eastAsia="en-US"/>
        </w:rPr>
        <w:fldChar w:fldCharType="end"/>
      </w:r>
      <w:r w:rsidR="00BD66D7">
        <w:rPr>
          <w:lang w:val="en-GB" w:eastAsia="en-US"/>
        </w:rPr>
        <w:t xml:space="preserve"> </w:t>
      </w:r>
      <w:r w:rsidRPr="00783B2D">
        <w:rPr>
          <w:lang w:val="en-GB" w:eastAsia="en-US"/>
        </w:rPr>
        <w:t>as follows:</w:t>
      </w:r>
    </w:p>
    <w:p w14:paraId="745C76FE" w14:textId="77777777" w:rsidR="00FC44BE" w:rsidRPr="00783B2D" w:rsidRDefault="00FC44BE" w:rsidP="00FC44BE">
      <w:pPr>
        <w:pStyle w:val="Heading2"/>
        <w:numPr>
          <w:ilvl w:val="0"/>
          <w:numId w:val="0"/>
        </w:numPr>
        <w:pBdr>
          <w:top w:val="single" w:sz="8" w:space="1" w:color="auto"/>
          <w:left w:val="single" w:sz="8" w:space="4" w:color="auto"/>
          <w:bottom w:val="single" w:sz="8" w:space="1" w:color="auto"/>
          <w:right w:val="single" w:sz="8" w:space="4" w:color="auto"/>
        </w:pBdr>
        <w:ind w:left="432" w:hanging="432"/>
        <w:rPr>
          <w:lang w:val="en-GB"/>
        </w:rPr>
      </w:pPr>
      <w:bookmarkStart w:id="5" w:name="_Toc490144628"/>
      <w:r w:rsidRPr="00783B2D">
        <w:rPr>
          <w:lang w:val="en-GB"/>
        </w:rPr>
        <w:t>7.3</w:t>
      </w:r>
      <w:r w:rsidRPr="00783B2D">
        <w:rPr>
          <w:lang w:val="en-GB"/>
        </w:rPr>
        <w:tab/>
        <w:t>Reference sensitivity power level</w:t>
      </w:r>
      <w:bookmarkEnd w:id="5"/>
    </w:p>
    <w:p w14:paraId="1A4DDB86" w14:textId="77777777" w:rsidR="00FC44BE" w:rsidRPr="00783B2D" w:rsidRDefault="00FC44BE" w:rsidP="00FC44BE">
      <w:pPr>
        <w:pBdr>
          <w:top w:val="single" w:sz="8" w:space="1" w:color="auto"/>
          <w:left w:val="single" w:sz="8" w:space="4" w:color="auto"/>
          <w:bottom w:val="single" w:sz="8" w:space="1" w:color="auto"/>
          <w:right w:val="single" w:sz="8" w:space="4" w:color="auto"/>
        </w:pBdr>
        <w:rPr>
          <w:lang w:val="en-GB"/>
        </w:rPr>
      </w:pPr>
      <w:r w:rsidRPr="00783B2D">
        <w:rPr>
          <w:rFonts w:ascii="TimesNewRomanPSMT" w:hAnsi="TimesNewRomanPSMT"/>
          <w:color w:val="000000"/>
          <w:lang w:val="en-GB"/>
        </w:rPr>
        <w:t xml:space="preserve">The reference sensitivity power level REFSENS is </w:t>
      </w:r>
      <w:r w:rsidRPr="00BD66D7">
        <w:rPr>
          <w:rFonts w:ascii="TimesNewRomanPSMT" w:hAnsi="TimesNewRomanPSMT"/>
          <w:color w:val="000000"/>
          <w:lang w:val="en-GB"/>
        </w:rPr>
        <w:t>the OTA power applied to the receivers (rank 1 with at least two baseband ports) in the direction where peak gain is achieved</w:t>
      </w:r>
      <w:r w:rsidRPr="00783B2D">
        <w:rPr>
          <w:rFonts w:ascii="TimesNewRomanPSMT" w:hAnsi="TimesNewRomanPSMT"/>
          <w:color w:val="000000"/>
          <w:lang w:val="en-GB"/>
        </w:rPr>
        <w:t>, at which the throughput shall meet or exceed the requirements for the specified reference measurement channel.</w:t>
      </w:r>
    </w:p>
    <w:p w14:paraId="5A8A17F7" w14:textId="1D9A3675" w:rsidR="00BD66D7" w:rsidRDefault="000A5328" w:rsidP="00B4226E">
      <w:pPr>
        <w:rPr>
          <w:lang w:val="en-GB" w:eastAsia="en-US"/>
        </w:rPr>
      </w:pPr>
      <w:r>
        <w:rPr>
          <w:lang w:val="en-GB" w:eastAsia="en-US"/>
        </w:rPr>
        <w:t xml:space="preserve">The testability aspect of </w:t>
      </w:r>
      <w:r w:rsidRPr="00BD66D7">
        <w:rPr>
          <w:lang w:val="en-GB" w:eastAsia="en-US"/>
        </w:rPr>
        <w:t>the</w:t>
      </w:r>
      <w:r w:rsidR="00B3300C" w:rsidRPr="00BD66D7">
        <w:rPr>
          <w:lang w:val="en-GB" w:eastAsia="en-US"/>
        </w:rPr>
        <w:t xml:space="preserve"> </w:t>
      </w:r>
      <w:r w:rsidR="00B3300C" w:rsidRPr="00BD66D7">
        <w:rPr>
          <w:u w:val="single"/>
          <w:lang w:val="en-GB" w:eastAsia="en-US"/>
        </w:rPr>
        <w:t xml:space="preserve">OTA power </w:t>
      </w:r>
      <w:r w:rsidRPr="00BD66D7">
        <w:rPr>
          <w:u w:val="single"/>
          <w:lang w:val="en-GB" w:eastAsia="en-US"/>
        </w:rPr>
        <w:t>level</w:t>
      </w:r>
      <w:r>
        <w:rPr>
          <w:lang w:val="en-GB" w:eastAsia="en-US"/>
        </w:rPr>
        <w:t xml:space="preserve"> at which the </w:t>
      </w:r>
      <w:r w:rsidRPr="000A5328">
        <w:rPr>
          <w:lang w:val="en-GB" w:eastAsia="en-US"/>
        </w:rPr>
        <w:t>throughput shall meet or exceed the requirements for the specified reference measurement channel</w:t>
      </w:r>
      <w:r w:rsidR="007008DF">
        <w:rPr>
          <w:lang w:val="en-GB" w:eastAsia="en-US"/>
        </w:rPr>
        <w:t xml:space="preserve"> is unclear. For conducted tests, this REFSENS power level is the power level at the conducted port</w:t>
      </w:r>
      <w:r w:rsidR="00BA6F02">
        <w:rPr>
          <w:lang w:val="en-GB" w:eastAsia="en-US"/>
        </w:rPr>
        <w:t>; however, for radiated tests there is no equivalent OTA power level. Traditionally, OTA tests</w:t>
      </w:r>
      <w:r w:rsidR="000D627E">
        <w:rPr>
          <w:lang w:val="en-GB" w:eastAsia="en-US"/>
        </w:rPr>
        <w:t xml:space="preserve"> have focused on the effective isotropic sensitivity (EIS) which is the power lev</w:t>
      </w:r>
      <w:r w:rsidR="00B94A61">
        <w:rPr>
          <w:lang w:val="en-GB" w:eastAsia="en-US"/>
        </w:rPr>
        <w:t>el at which</w:t>
      </w:r>
      <w:r w:rsidR="000D627E">
        <w:rPr>
          <w:lang w:val="en-GB" w:eastAsia="en-US"/>
        </w:rPr>
        <w:t xml:space="preserve"> </w:t>
      </w:r>
      <w:r w:rsidR="00B94A61">
        <w:rPr>
          <w:lang w:val="en-GB" w:eastAsia="en-US"/>
        </w:rPr>
        <w:t>the target throughput is met or exceeded</w:t>
      </w:r>
      <w:r w:rsidR="008E6FD8">
        <w:rPr>
          <w:lang w:val="en-GB" w:eastAsia="en-US"/>
        </w:rPr>
        <w:t>. As EIS is assessed separately for each polarization (</w:t>
      </w:r>
      <w:r w:rsidR="008E6FD8" w:rsidRPr="005549FE">
        <w:rPr>
          <w:rFonts w:ascii="Symbol" w:hAnsi="Symbol"/>
          <w:lang w:val="en-GB" w:eastAsia="en-US"/>
        </w:rPr>
        <w:t></w:t>
      </w:r>
      <w:r w:rsidR="008E6FD8">
        <w:rPr>
          <w:lang w:val="en-GB" w:eastAsia="en-US"/>
        </w:rPr>
        <w:t xml:space="preserve">, </w:t>
      </w:r>
      <w:r w:rsidR="008E6FD8" w:rsidRPr="005549FE">
        <w:rPr>
          <w:rFonts w:ascii="Symbol" w:hAnsi="Symbol"/>
          <w:lang w:val="en-GB" w:eastAsia="en-US"/>
        </w:rPr>
        <w:t></w:t>
      </w:r>
      <w:r w:rsidR="008E6FD8">
        <w:rPr>
          <w:lang w:val="en-GB" w:eastAsia="en-US"/>
        </w:rPr>
        <w:t xml:space="preserve">), there is no equivalent </w:t>
      </w:r>
      <w:r w:rsidR="00360476">
        <w:rPr>
          <w:lang w:val="en-GB" w:eastAsia="en-US"/>
        </w:rPr>
        <w:t xml:space="preserve">to the </w:t>
      </w:r>
      <w:r w:rsidR="00B05CB4">
        <w:rPr>
          <w:lang w:val="en-GB" w:eastAsia="en-US"/>
        </w:rPr>
        <w:t>REFSENS power level</w:t>
      </w:r>
      <w:r w:rsidR="008E6FD8">
        <w:rPr>
          <w:lang w:val="en-GB" w:eastAsia="en-US"/>
        </w:rPr>
        <w:t xml:space="preserve"> </w:t>
      </w:r>
      <w:r w:rsidR="00B05CB4">
        <w:rPr>
          <w:lang w:val="en-GB" w:eastAsia="en-US"/>
        </w:rPr>
        <w:t xml:space="preserve">in OTA. </w:t>
      </w:r>
      <w:r w:rsidR="00025F69">
        <w:rPr>
          <w:lang w:val="en-GB" w:eastAsia="en-US"/>
        </w:rPr>
        <w:t xml:space="preserve">It is therefore proposed to clarify the definition of REFSENS. </w:t>
      </w:r>
    </w:p>
    <w:p w14:paraId="23383AC2" w14:textId="77777777" w:rsidR="006652DA" w:rsidRPr="006652DA" w:rsidRDefault="006652DA" w:rsidP="006652DA">
      <w:pPr>
        <w:pStyle w:val="Heading2"/>
      </w:pPr>
      <w:r>
        <w:rPr>
          <w:lang w:val="en-US"/>
        </w:rPr>
        <w:t xml:space="preserve">REFSENS Measurement Approach </w:t>
      </w:r>
    </w:p>
    <w:p w14:paraId="3B71FD63" w14:textId="4306DA82" w:rsidR="0054542C" w:rsidRDefault="0054542C" w:rsidP="00B4226E">
      <w:pPr>
        <w:rPr>
          <w:lang w:val="en-GB" w:eastAsia="en-US"/>
        </w:rPr>
      </w:pPr>
      <w:r>
        <w:rPr>
          <w:lang w:val="en-GB" w:eastAsia="en-US"/>
        </w:rPr>
        <w:t>Suitable approaches for the REFSENS test case</w:t>
      </w:r>
      <w:r w:rsidR="006A2B2B">
        <w:rPr>
          <w:lang w:val="en-GB" w:eastAsia="en-US"/>
        </w:rPr>
        <w:t xml:space="preserve"> were</w:t>
      </w:r>
      <w:r w:rsidR="006652DA">
        <w:rPr>
          <w:lang w:val="en-GB" w:eastAsia="en-US"/>
        </w:rPr>
        <w:t xml:space="preserve"> presented previously in</w:t>
      </w:r>
      <w:r w:rsidR="006A2B2B">
        <w:rPr>
          <w:lang w:val="en-GB" w:eastAsia="en-US"/>
        </w:rPr>
        <w:t xml:space="preserve"> Table 1 of</w:t>
      </w:r>
      <w:r w:rsidR="006652DA">
        <w:rPr>
          <w:lang w:val="en-GB" w:eastAsia="en-US"/>
        </w:rPr>
        <w:t xml:space="preserve"> </w:t>
      </w:r>
      <w:r w:rsidR="006652DA">
        <w:rPr>
          <w:lang w:val="en-GB" w:eastAsia="en-US"/>
        </w:rPr>
        <w:fldChar w:fldCharType="begin"/>
      </w:r>
      <w:r w:rsidR="006652DA">
        <w:rPr>
          <w:lang w:val="en-GB" w:eastAsia="en-US"/>
        </w:rPr>
        <w:instrText xml:space="preserve"> REF _Ref506475222 \r \h </w:instrText>
      </w:r>
      <w:r w:rsidR="006652DA">
        <w:rPr>
          <w:lang w:val="en-GB" w:eastAsia="en-US"/>
        </w:rPr>
      </w:r>
      <w:r w:rsidR="006652DA">
        <w:rPr>
          <w:lang w:val="en-GB" w:eastAsia="en-US"/>
        </w:rPr>
        <w:fldChar w:fldCharType="separate"/>
      </w:r>
      <w:r w:rsidR="006652DA">
        <w:rPr>
          <w:lang w:val="en-GB" w:eastAsia="en-US"/>
        </w:rPr>
        <w:t>[3]</w:t>
      </w:r>
      <w:r w:rsidR="006652DA">
        <w:rPr>
          <w:lang w:val="en-GB" w:eastAsia="en-US"/>
        </w:rPr>
        <w:fldChar w:fldCharType="end"/>
      </w:r>
      <w:r w:rsidR="006A2B2B">
        <w:rPr>
          <w:lang w:val="en-GB" w:eastAsia="en-US"/>
        </w:rPr>
        <w:t xml:space="preserve">. </w:t>
      </w:r>
    </w:p>
    <w:p w14:paraId="3315E3BA" w14:textId="7125011D" w:rsidR="006652DA" w:rsidRDefault="006652DA" w:rsidP="00B4226E">
      <w:pPr>
        <w:rPr>
          <w:lang w:val="en-GB" w:eastAsia="en-US"/>
        </w:rPr>
      </w:pPr>
      <w:r>
        <w:rPr>
          <w:lang w:val="en-GB" w:eastAsia="en-US"/>
        </w:rPr>
        <w:t xml:space="preserve">With REFSENS defined at the RX beam direction </w:t>
      </w:r>
      <w:r w:rsidR="00086AA6">
        <w:rPr>
          <w:lang w:val="en-GB"/>
        </w:rPr>
        <w:t>(</w:t>
      </w:r>
      <w:r w:rsidR="00086AA6">
        <w:rPr>
          <w:rFonts w:ascii="Symbol" w:hAnsi="Symbol"/>
          <w:lang w:val="en-GB" w:eastAsia="en-US"/>
        </w:rPr>
        <w:t></w:t>
      </w:r>
      <w:r w:rsidR="00086AA6">
        <w:rPr>
          <w:vertAlign w:val="subscript"/>
          <w:lang w:val="en-GB"/>
        </w:rPr>
        <w:t>RXp</w:t>
      </w:r>
      <w:r w:rsidR="00086AA6" w:rsidRPr="00FB1C42">
        <w:rPr>
          <w:vertAlign w:val="subscript"/>
          <w:lang w:val="en-GB"/>
        </w:rPr>
        <w:t>eak</w:t>
      </w:r>
      <w:r w:rsidR="00086AA6" w:rsidRPr="00B14AF5">
        <w:rPr>
          <w:vertAlign w:val="subscript"/>
          <w:lang w:val="en-GB"/>
        </w:rPr>
        <w:t>,</w:t>
      </w:r>
      <w:r w:rsidR="00086AA6">
        <w:rPr>
          <w:vertAlign w:val="subscript"/>
          <w:lang w:val="en-GB"/>
        </w:rPr>
        <w:t>T</w:t>
      </w:r>
      <w:r w:rsidR="00086AA6">
        <w:rPr>
          <w:rFonts w:ascii="Symbol" w:hAnsi="Symbol"/>
          <w:lang w:val="en-GB" w:eastAsia="en-US"/>
        </w:rPr>
        <w:t></w:t>
      </w:r>
      <w:r w:rsidR="00086AA6">
        <w:rPr>
          <w:rFonts w:ascii="Symbol" w:hAnsi="Symbol"/>
          <w:lang w:val="en-GB" w:eastAsia="en-US"/>
        </w:rPr>
        <w:t></w:t>
      </w:r>
      <w:r w:rsidR="00086AA6">
        <w:rPr>
          <w:vertAlign w:val="subscript"/>
          <w:lang w:val="en-GB"/>
        </w:rPr>
        <w:t>RXp</w:t>
      </w:r>
      <w:r w:rsidR="00086AA6" w:rsidRPr="00FB1C42">
        <w:rPr>
          <w:vertAlign w:val="subscript"/>
          <w:lang w:val="en-GB"/>
        </w:rPr>
        <w:t>eak</w:t>
      </w:r>
      <w:r w:rsidR="00086AA6" w:rsidRPr="00B14AF5">
        <w:rPr>
          <w:vertAlign w:val="subscript"/>
          <w:lang w:val="en-GB"/>
        </w:rPr>
        <w:t>,</w:t>
      </w:r>
      <w:r w:rsidR="00086AA6">
        <w:rPr>
          <w:vertAlign w:val="subscript"/>
          <w:lang w:val="en-GB"/>
        </w:rPr>
        <w:t>T</w:t>
      </w:r>
      <w:r w:rsidR="00086AA6" w:rsidRPr="00086AA6">
        <w:rPr>
          <w:lang w:val="en-GB"/>
        </w:rPr>
        <w:t>)</w:t>
      </w:r>
      <w:r w:rsidR="00086AA6">
        <w:rPr>
          <w:lang w:val="en-GB"/>
        </w:rPr>
        <w:t xml:space="preserve"> </w:t>
      </w:r>
      <w:r>
        <w:rPr>
          <w:lang w:val="en-GB" w:eastAsia="en-US"/>
        </w:rPr>
        <w:t xml:space="preserve">where </w:t>
      </w:r>
      <w:r w:rsidRPr="006652DA">
        <w:rPr>
          <w:lang w:val="en-GB" w:eastAsia="en-US"/>
        </w:rPr>
        <w:t xml:space="preserve">the maximum total component of RSRP and thus best total component of EIS is </w:t>
      </w:r>
      <w:r w:rsidRPr="007D40F6">
        <w:rPr>
          <w:lang w:val="en-GB" w:eastAsia="en-US"/>
        </w:rPr>
        <w:t>found</w:t>
      </w:r>
      <w:r w:rsidR="00025F69" w:rsidRPr="007D40F6">
        <w:rPr>
          <w:lang w:val="en-GB" w:eastAsia="en-US"/>
        </w:rPr>
        <w:t xml:space="preserve"> </w:t>
      </w:r>
      <w:r w:rsidR="007452A4" w:rsidRPr="007D40F6">
        <w:rPr>
          <w:lang w:val="en-GB" w:eastAsia="en-US"/>
        </w:rPr>
        <w:fldChar w:fldCharType="begin"/>
      </w:r>
      <w:r w:rsidR="007452A4" w:rsidRPr="007D40F6">
        <w:rPr>
          <w:lang w:val="en-GB" w:eastAsia="en-US"/>
        </w:rPr>
        <w:instrText xml:space="preserve"> REF _Ref506495737 \r \h </w:instrText>
      </w:r>
      <w:r w:rsidR="007452A4" w:rsidRPr="007D40F6">
        <w:rPr>
          <w:lang w:val="en-GB" w:eastAsia="en-US"/>
        </w:rPr>
      </w:r>
      <w:r w:rsidR="007452A4" w:rsidRPr="007D40F6">
        <w:rPr>
          <w:lang w:val="en-GB" w:eastAsia="en-US"/>
        </w:rPr>
        <w:fldChar w:fldCharType="separate"/>
      </w:r>
      <w:r w:rsidR="007452A4" w:rsidRPr="007D40F6">
        <w:rPr>
          <w:lang w:val="en-GB" w:eastAsia="en-US"/>
        </w:rPr>
        <w:t>[4]</w:t>
      </w:r>
      <w:r w:rsidR="007452A4" w:rsidRPr="007D40F6">
        <w:rPr>
          <w:lang w:val="en-GB" w:eastAsia="en-US"/>
        </w:rPr>
        <w:fldChar w:fldCharType="end"/>
      </w:r>
      <w:r w:rsidR="00035950" w:rsidRPr="00025F69">
        <w:rPr>
          <w:color w:val="FF0000"/>
          <w:lang w:val="en-GB" w:eastAsia="en-US"/>
        </w:rPr>
        <w:t xml:space="preserve">, </w:t>
      </w:r>
      <w:r w:rsidR="006A2B2B">
        <w:rPr>
          <w:lang w:val="en-GB" w:eastAsia="en-US"/>
        </w:rPr>
        <w:t>the following approach</w:t>
      </w:r>
      <w:r w:rsidR="00035950">
        <w:rPr>
          <w:lang w:val="en-GB" w:eastAsia="en-US"/>
        </w:rPr>
        <w:t xml:space="preserve"> should be selected as </w:t>
      </w:r>
      <w:r w:rsidR="006A2B2B">
        <w:rPr>
          <w:lang w:val="en-GB" w:eastAsia="en-US"/>
        </w:rPr>
        <w:t xml:space="preserve">the </w:t>
      </w:r>
      <w:r w:rsidR="00035950">
        <w:rPr>
          <w:lang w:val="en-GB" w:eastAsia="en-US"/>
        </w:rPr>
        <w:t>measurement approach for REFSENS</w:t>
      </w:r>
      <w:r w:rsidR="00C41D91">
        <w:rPr>
          <w:lang w:val="en-GB" w:eastAsia="en-US"/>
        </w:rPr>
        <w:t xml:space="preserve"> (clarified approach 3 from </w:t>
      </w:r>
      <w:r w:rsidR="00C41D91">
        <w:rPr>
          <w:lang w:val="en-GB" w:eastAsia="en-US"/>
        </w:rPr>
        <w:fldChar w:fldCharType="begin"/>
      </w:r>
      <w:r w:rsidR="00C41D91">
        <w:rPr>
          <w:lang w:val="en-GB" w:eastAsia="en-US"/>
        </w:rPr>
        <w:instrText xml:space="preserve"> REF _Ref506475222 \r \h </w:instrText>
      </w:r>
      <w:r w:rsidR="00C41D91">
        <w:rPr>
          <w:lang w:val="en-GB" w:eastAsia="en-US"/>
        </w:rPr>
      </w:r>
      <w:r w:rsidR="00C41D91">
        <w:rPr>
          <w:lang w:val="en-GB" w:eastAsia="en-US"/>
        </w:rPr>
        <w:fldChar w:fldCharType="separate"/>
      </w:r>
      <w:r w:rsidR="00C41D91">
        <w:rPr>
          <w:lang w:val="en-GB" w:eastAsia="en-US"/>
        </w:rPr>
        <w:t>[3]</w:t>
      </w:r>
      <w:r w:rsidR="00C41D91">
        <w:rPr>
          <w:lang w:val="en-GB" w:eastAsia="en-US"/>
        </w:rPr>
        <w:fldChar w:fldCharType="end"/>
      </w:r>
      <w:r w:rsidR="00F7419A">
        <w:rPr>
          <w:lang w:val="en-GB" w:eastAsia="en-US"/>
        </w:rPr>
        <w:t>):</w:t>
      </w:r>
    </w:p>
    <w:p w14:paraId="7F98FA52" w14:textId="77777777" w:rsidR="00AE3C80" w:rsidRDefault="00AE3C80" w:rsidP="00AE3C80">
      <w:pPr>
        <w:pStyle w:val="Caption"/>
        <w:keepNext/>
        <w:jc w:val="center"/>
      </w:pPr>
      <w:bookmarkStart w:id="6" w:name="_Ref498628942"/>
      <w:r>
        <w:lastRenderedPageBreak/>
        <w:t xml:space="preserve">Table </w:t>
      </w:r>
      <w:r>
        <w:fldChar w:fldCharType="begin"/>
      </w:r>
      <w:r>
        <w:instrText xml:space="preserve"> SEQ Table \* ARABIC </w:instrText>
      </w:r>
      <w:r>
        <w:fldChar w:fldCharType="separate"/>
      </w:r>
      <w:r>
        <w:rPr>
          <w:noProof/>
        </w:rPr>
        <w:t>1</w:t>
      </w:r>
      <w:r>
        <w:fldChar w:fldCharType="end"/>
      </w:r>
      <w:bookmarkEnd w:id="6"/>
      <w:r>
        <w:t>: REFSENS Measurement Approaches</w:t>
      </w:r>
    </w:p>
    <w:tbl>
      <w:tblPr>
        <w:tblStyle w:val="PlainTable2"/>
        <w:tblW w:w="8117" w:type="dxa"/>
        <w:tblLook w:val="0000" w:firstRow="0" w:lastRow="0" w:firstColumn="0" w:lastColumn="0" w:noHBand="0" w:noVBand="0"/>
      </w:tblPr>
      <w:tblGrid>
        <w:gridCol w:w="1746"/>
        <w:gridCol w:w="6371"/>
      </w:tblGrid>
      <w:tr w:rsidR="00AE3C80" w14:paraId="07D2DEC2" w14:textId="77777777" w:rsidTr="00AE3C8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528" w:type="dxa"/>
            <w:vAlign w:val="center"/>
          </w:tcPr>
          <w:p w14:paraId="58516354" w14:textId="77777777" w:rsidR="00AE3C80" w:rsidRPr="0054542C" w:rsidRDefault="00AE3C80" w:rsidP="00CC32ED">
            <w:pPr>
              <w:rPr>
                <w:b/>
                <w:lang w:val="en-GB" w:eastAsia="en-US"/>
              </w:rPr>
            </w:pPr>
            <w:r w:rsidRPr="0054542C">
              <w:rPr>
                <w:b/>
                <w:lang w:val="en-GB" w:eastAsia="en-US"/>
              </w:rPr>
              <w:t>Test Point</w:t>
            </w:r>
          </w:p>
        </w:tc>
        <w:tc>
          <w:tcPr>
            <w:cnfStyle w:val="000001000000" w:firstRow="0" w:lastRow="0" w:firstColumn="0" w:lastColumn="0" w:oddVBand="0" w:evenVBand="1" w:oddHBand="0" w:evenHBand="0" w:firstRowFirstColumn="0" w:firstRowLastColumn="0" w:lastRowFirstColumn="0" w:lastRowLastColumn="0"/>
            <w:tcW w:w="6589" w:type="dxa"/>
            <w:vAlign w:val="center"/>
          </w:tcPr>
          <w:p w14:paraId="455C7A76" w14:textId="77777777" w:rsidR="00AE3C80" w:rsidRPr="0054542C" w:rsidRDefault="00AE3C80" w:rsidP="00CC32ED">
            <w:pPr>
              <w:rPr>
                <w:b/>
                <w:lang w:val="en-GB" w:eastAsia="en-US"/>
              </w:rPr>
            </w:pPr>
            <w:r w:rsidRPr="0054542C">
              <w:rPr>
                <w:b/>
                <w:lang w:val="en-GB" w:eastAsia="en-US"/>
              </w:rPr>
              <w:t>Procedure</w:t>
            </w:r>
          </w:p>
        </w:tc>
      </w:tr>
      <w:tr w:rsidR="00AE3C80" w14:paraId="0388EF74" w14:textId="77777777" w:rsidTr="00AE3C80">
        <w:tc>
          <w:tcPr>
            <w:cnfStyle w:val="000010000000" w:firstRow="0" w:lastRow="0" w:firstColumn="0" w:lastColumn="0" w:oddVBand="1" w:evenVBand="0" w:oddHBand="0" w:evenHBand="0" w:firstRowFirstColumn="0" w:firstRowLastColumn="0" w:lastRowFirstColumn="0" w:lastRowLastColumn="0"/>
            <w:tcW w:w="1528" w:type="dxa"/>
            <w:vAlign w:val="center"/>
          </w:tcPr>
          <w:p w14:paraId="0AC4EF08" w14:textId="70DB8E91" w:rsidR="00AE3C80" w:rsidRDefault="00025F69" w:rsidP="00CC32ED">
            <w:pPr>
              <w:jc w:val="center"/>
              <w:rPr>
                <w:lang w:val="en-GB" w:eastAsia="en-US"/>
              </w:rPr>
            </w:pPr>
            <w:r>
              <w:rPr>
                <w:rFonts w:ascii="Symbol" w:hAnsi="Symbol"/>
                <w:lang w:val="en-GB" w:eastAsia="en-US"/>
              </w:rPr>
              <w:t></w:t>
            </w:r>
            <w:r>
              <w:rPr>
                <w:vertAlign w:val="subscript"/>
                <w:lang w:val="en-GB"/>
              </w:rPr>
              <w:t>RXp</w:t>
            </w:r>
            <w:r w:rsidRPr="00FB1C42">
              <w:rPr>
                <w:vertAlign w:val="subscript"/>
                <w:lang w:val="en-GB"/>
              </w:rPr>
              <w:t>eak</w:t>
            </w:r>
            <w:r w:rsidRPr="00B14AF5">
              <w:rPr>
                <w:vertAlign w:val="subscript"/>
                <w:lang w:val="en-GB"/>
              </w:rPr>
              <w:t>,</w:t>
            </w:r>
            <w:r>
              <w:rPr>
                <w:vertAlign w:val="subscript"/>
                <w:lang w:val="en-GB"/>
              </w:rPr>
              <w:t>T</w:t>
            </w:r>
            <w:r>
              <w:rPr>
                <w:rFonts w:ascii="Symbol" w:hAnsi="Symbol"/>
                <w:lang w:val="en-GB" w:eastAsia="en-US"/>
              </w:rPr>
              <w:t></w:t>
            </w:r>
            <w:r>
              <w:rPr>
                <w:rFonts w:ascii="Symbol" w:hAnsi="Symbol"/>
                <w:lang w:val="en-GB" w:eastAsia="en-US"/>
              </w:rPr>
              <w:t></w:t>
            </w:r>
            <w:r>
              <w:rPr>
                <w:vertAlign w:val="subscript"/>
                <w:lang w:val="en-GB"/>
              </w:rPr>
              <w:t>RXp</w:t>
            </w:r>
            <w:r w:rsidRPr="00FB1C42">
              <w:rPr>
                <w:vertAlign w:val="subscript"/>
                <w:lang w:val="en-GB"/>
              </w:rPr>
              <w:t>eak</w:t>
            </w:r>
            <w:r w:rsidRPr="00B14AF5">
              <w:rPr>
                <w:vertAlign w:val="subscript"/>
                <w:lang w:val="en-GB"/>
              </w:rPr>
              <w:t>,</w:t>
            </w:r>
            <w:r>
              <w:rPr>
                <w:vertAlign w:val="subscript"/>
                <w:lang w:val="en-GB"/>
              </w:rPr>
              <w:t>T</w:t>
            </w:r>
          </w:p>
        </w:tc>
        <w:tc>
          <w:tcPr>
            <w:cnfStyle w:val="000001000000" w:firstRow="0" w:lastRow="0" w:firstColumn="0" w:lastColumn="0" w:oddVBand="0" w:evenVBand="1" w:oddHBand="0" w:evenHBand="0" w:firstRowFirstColumn="0" w:firstRowLastColumn="0" w:lastRowFirstColumn="0" w:lastRowLastColumn="0"/>
            <w:tcW w:w="6589" w:type="dxa"/>
          </w:tcPr>
          <w:p w14:paraId="10CC712D" w14:textId="77777777" w:rsidR="00AE3C80" w:rsidRPr="00086AA6" w:rsidRDefault="00AE3C80" w:rsidP="00AE3C80">
            <w:pPr>
              <w:pStyle w:val="ListParagraph"/>
              <w:numPr>
                <w:ilvl w:val="0"/>
                <w:numId w:val="50"/>
              </w:numPr>
              <w:spacing w:after="0"/>
              <w:rPr>
                <w:rFonts w:ascii="Arial" w:hAnsi="Arial" w:cs="Arial"/>
                <w:lang w:val="en-GB"/>
              </w:rPr>
            </w:pPr>
            <w:r w:rsidRPr="00086AA6">
              <w:rPr>
                <w:rFonts w:ascii="Arial" w:hAnsi="Arial" w:cs="Arial"/>
                <w:lang w:val="en-GB"/>
              </w:rPr>
              <w:t>Establish</w:t>
            </w:r>
            <w:r>
              <w:rPr>
                <w:rFonts w:ascii="Arial" w:hAnsi="Arial" w:cs="Arial"/>
                <w:lang w:val="en-GB"/>
              </w:rPr>
              <w:t xml:space="preserve"> a connection between the UE placed at the centre of the quiet zone and the gNB emulator with the downlink signal applied to the </w:t>
            </w:r>
            <w:r w:rsidRPr="00A31D72">
              <w:rPr>
                <w:rFonts w:ascii="Symbol" w:hAnsi="Symbol" w:cs="Arial"/>
                <w:lang w:val="en-GB"/>
              </w:rPr>
              <w:t></w:t>
            </w:r>
            <w:r w:rsidRPr="00A31D72">
              <w:rPr>
                <w:rFonts w:ascii="Arial" w:hAnsi="Arial" w:cs="Arial"/>
                <w:lang w:val="en-GB"/>
              </w:rPr>
              <w:t>-polarization</w:t>
            </w:r>
            <w:r>
              <w:rPr>
                <w:rFonts w:ascii="Arial" w:hAnsi="Arial" w:cs="Arial"/>
                <w:lang w:val="en-GB"/>
              </w:rPr>
              <w:t xml:space="preserve"> of the measurement&amp;link antenna</w:t>
            </w:r>
          </w:p>
          <w:p w14:paraId="0E1E8A38" w14:textId="77777777" w:rsidR="00AE3C80" w:rsidRPr="00086AA6" w:rsidRDefault="00AE3C80" w:rsidP="00AE3C80">
            <w:pPr>
              <w:pStyle w:val="ListParagraph"/>
              <w:numPr>
                <w:ilvl w:val="0"/>
                <w:numId w:val="50"/>
              </w:numPr>
              <w:spacing w:after="0"/>
              <w:rPr>
                <w:rFonts w:ascii="Arial" w:hAnsi="Arial" w:cs="Arial"/>
                <w:lang w:val="en-GB"/>
              </w:rPr>
            </w:pPr>
            <w:r w:rsidRPr="00A31D72">
              <w:rPr>
                <w:rFonts w:ascii="Arial" w:hAnsi="Arial" w:cs="Arial"/>
                <w:lang w:val="en-GB"/>
              </w:rPr>
              <w:t xml:space="preserve">Position the UE so that the </w:t>
            </w:r>
            <w:r>
              <w:rPr>
                <w:rFonts w:ascii="Arial" w:hAnsi="Arial" w:cs="Arial"/>
                <w:lang w:val="en-GB"/>
              </w:rPr>
              <w:t>beam is</w:t>
            </w:r>
            <w:r w:rsidRPr="00A31D72">
              <w:rPr>
                <w:rFonts w:ascii="Arial" w:hAnsi="Arial" w:cs="Arial"/>
                <w:lang w:val="en-GB"/>
              </w:rPr>
              <w:t xml:space="preserve"> formed towards the measurement antenna</w:t>
            </w:r>
            <w:r>
              <w:rPr>
                <w:rFonts w:ascii="Arial" w:hAnsi="Arial" w:cs="Arial"/>
                <w:lang w:val="en-GB"/>
              </w:rPr>
              <w:t xml:space="preserve"> in the RX beam peak direction, i.e, UE and measurement antenna have angular relationship to each other of (</w:t>
            </w:r>
            <w:r>
              <w:rPr>
                <w:rFonts w:ascii="Symbol" w:hAnsi="Symbol"/>
                <w:lang w:val="en-GB"/>
              </w:rPr>
              <w:t></w:t>
            </w:r>
            <w:r>
              <w:rPr>
                <w:vertAlign w:val="subscript"/>
                <w:lang w:val="en-GB"/>
              </w:rPr>
              <w:t>RXp</w:t>
            </w:r>
            <w:r w:rsidRPr="00FB1C42">
              <w:rPr>
                <w:vertAlign w:val="subscript"/>
                <w:lang w:val="en-GB"/>
              </w:rPr>
              <w:t>eak</w:t>
            </w:r>
            <w:r w:rsidRPr="00B14AF5">
              <w:rPr>
                <w:vertAlign w:val="subscript"/>
                <w:lang w:val="en-GB"/>
              </w:rPr>
              <w:t>,</w:t>
            </w:r>
            <w:r>
              <w:rPr>
                <w:vertAlign w:val="subscript"/>
                <w:lang w:val="en-GB"/>
              </w:rPr>
              <w:t>T</w:t>
            </w:r>
            <w:r>
              <w:rPr>
                <w:rFonts w:ascii="Symbol" w:hAnsi="Symbol"/>
                <w:lang w:val="en-GB"/>
              </w:rPr>
              <w:t></w:t>
            </w:r>
            <w:r>
              <w:rPr>
                <w:rFonts w:ascii="Symbol" w:hAnsi="Symbol"/>
                <w:lang w:val="en-GB"/>
              </w:rPr>
              <w:t></w:t>
            </w:r>
            <w:r>
              <w:rPr>
                <w:vertAlign w:val="subscript"/>
                <w:lang w:val="en-GB"/>
              </w:rPr>
              <w:t>RXp</w:t>
            </w:r>
            <w:r w:rsidRPr="00FB1C42">
              <w:rPr>
                <w:vertAlign w:val="subscript"/>
                <w:lang w:val="en-GB"/>
              </w:rPr>
              <w:t>eak</w:t>
            </w:r>
            <w:r w:rsidRPr="00B14AF5">
              <w:rPr>
                <w:vertAlign w:val="subscript"/>
                <w:lang w:val="en-GB"/>
              </w:rPr>
              <w:t>,</w:t>
            </w:r>
            <w:r>
              <w:rPr>
                <w:vertAlign w:val="subscript"/>
                <w:lang w:val="en-GB"/>
              </w:rPr>
              <w:t>T</w:t>
            </w:r>
            <w:r w:rsidRPr="00086AA6">
              <w:rPr>
                <w:rFonts w:ascii="Arial" w:hAnsi="Arial" w:cs="Arial"/>
                <w:lang w:val="en-GB"/>
              </w:rPr>
              <w:t>)</w:t>
            </w:r>
          </w:p>
          <w:p w14:paraId="44A92E2B" w14:textId="3555EB0E" w:rsidR="00AE3C80" w:rsidRPr="00A31D72" w:rsidRDefault="00025F69" w:rsidP="00AE3C80">
            <w:pPr>
              <w:pStyle w:val="ListParagraph"/>
              <w:numPr>
                <w:ilvl w:val="0"/>
                <w:numId w:val="50"/>
              </w:numPr>
              <w:spacing w:after="0"/>
              <w:rPr>
                <w:lang w:val="en-GB"/>
              </w:rPr>
            </w:pPr>
            <w:r>
              <w:rPr>
                <w:rFonts w:ascii="Arial" w:hAnsi="Arial" w:cs="Arial"/>
                <w:lang w:val="en-GB"/>
              </w:rPr>
              <w:t>Determine</w:t>
            </w:r>
            <w:r w:rsidR="00AE3C80">
              <w:rPr>
                <w:rFonts w:ascii="Arial" w:hAnsi="Arial" w:cs="Arial"/>
                <w:lang w:val="en-GB"/>
              </w:rPr>
              <w:t xml:space="preserve"> EIS</w:t>
            </w:r>
            <w:r w:rsidR="00AE3C80" w:rsidRPr="00A31D72">
              <w:rPr>
                <w:rFonts w:ascii="Symbol" w:hAnsi="Symbol" w:cs="Arial"/>
                <w:vertAlign w:val="subscript"/>
                <w:lang w:val="en-GB"/>
              </w:rPr>
              <w:t></w:t>
            </w:r>
            <w:r w:rsidR="00AE3C80" w:rsidRPr="00A31D72">
              <w:rPr>
                <w:rFonts w:ascii="Arial" w:hAnsi="Arial" w:cs="Arial"/>
                <w:lang w:val="en-GB"/>
              </w:rPr>
              <w:t xml:space="preserve"> </w:t>
            </w:r>
            <w:r w:rsidR="00AE3C80">
              <w:rPr>
                <w:rFonts w:ascii="Arial" w:hAnsi="Arial" w:cs="Arial"/>
                <w:lang w:val="en-GB"/>
              </w:rPr>
              <w:t xml:space="preserve">for </w:t>
            </w:r>
            <w:r w:rsidR="00AE3C80" w:rsidRPr="00A31D72">
              <w:rPr>
                <w:rFonts w:ascii="Symbol" w:hAnsi="Symbol" w:cs="Arial"/>
                <w:lang w:val="en-GB"/>
              </w:rPr>
              <w:t></w:t>
            </w:r>
            <w:r w:rsidR="00AE3C80" w:rsidRPr="00A31D72">
              <w:rPr>
                <w:rFonts w:ascii="Arial" w:hAnsi="Arial" w:cs="Arial"/>
                <w:lang w:val="en-GB"/>
              </w:rPr>
              <w:t>-polarization</w:t>
            </w:r>
            <w:r w:rsidR="00AE3C80">
              <w:rPr>
                <w:rFonts w:ascii="Arial" w:hAnsi="Arial" w:cs="Arial"/>
                <w:lang w:val="en-GB"/>
              </w:rPr>
              <w:t>, i.e., the power level</w:t>
            </w:r>
            <w:r w:rsidR="00AE3C80" w:rsidRPr="00A31D72">
              <w:rPr>
                <w:rFonts w:ascii="Arial" w:hAnsi="Arial" w:cs="Arial"/>
                <w:lang w:val="en-GB"/>
              </w:rPr>
              <w:t xml:space="preserve"> </w:t>
            </w:r>
            <w:r w:rsidR="00AE3C80">
              <w:rPr>
                <w:rFonts w:ascii="Arial" w:hAnsi="Arial" w:cs="Arial"/>
                <w:lang w:val="en-GB"/>
              </w:rPr>
              <w:t xml:space="preserve">for the </w:t>
            </w:r>
            <w:r w:rsidR="00AE3C80" w:rsidRPr="00A31D72">
              <w:rPr>
                <w:rFonts w:ascii="Symbol" w:hAnsi="Symbol" w:cs="Arial"/>
                <w:lang w:val="en-GB"/>
              </w:rPr>
              <w:t></w:t>
            </w:r>
            <w:r w:rsidR="00AE3C80" w:rsidRPr="00A31D72">
              <w:rPr>
                <w:rFonts w:ascii="Arial" w:hAnsi="Arial" w:cs="Arial"/>
                <w:lang w:val="en-GB"/>
              </w:rPr>
              <w:t>-polarization</w:t>
            </w:r>
            <w:r w:rsidR="00AE3C80">
              <w:rPr>
                <w:rFonts w:ascii="Arial" w:hAnsi="Arial" w:cs="Arial"/>
                <w:lang w:val="en-GB"/>
              </w:rPr>
              <w:t xml:space="preserve"> at which the throughput </w:t>
            </w:r>
            <w:r w:rsidR="00AE3C80" w:rsidRPr="00A31D72">
              <w:rPr>
                <w:rFonts w:ascii="Arial" w:hAnsi="Arial" w:cs="Arial"/>
                <w:lang w:val="en-GB"/>
              </w:rPr>
              <w:t>exceeds the requirements for the specified reference measurement channel</w:t>
            </w:r>
          </w:p>
          <w:p w14:paraId="295D0313" w14:textId="77777777" w:rsidR="00AE3C80" w:rsidRPr="00086AA6" w:rsidRDefault="00AE3C80" w:rsidP="00AE3C80">
            <w:pPr>
              <w:pStyle w:val="ListParagraph"/>
              <w:numPr>
                <w:ilvl w:val="0"/>
                <w:numId w:val="50"/>
              </w:numPr>
              <w:spacing w:after="0"/>
              <w:rPr>
                <w:rFonts w:ascii="Arial" w:hAnsi="Arial" w:cs="Arial"/>
                <w:lang w:val="en-GB"/>
              </w:rPr>
            </w:pPr>
            <w:r>
              <w:rPr>
                <w:rFonts w:ascii="Arial" w:hAnsi="Arial" w:cs="Arial"/>
                <w:lang w:val="en-GB"/>
              </w:rPr>
              <w:t xml:space="preserve">Switch the downlink to the </w:t>
            </w:r>
            <w:r>
              <w:rPr>
                <w:rFonts w:ascii="Symbol" w:hAnsi="Symbol" w:cs="Arial"/>
                <w:lang w:val="en-GB"/>
              </w:rPr>
              <w:t></w:t>
            </w:r>
            <w:r w:rsidRPr="00A31D72">
              <w:rPr>
                <w:rFonts w:ascii="Arial" w:hAnsi="Arial" w:cs="Arial"/>
                <w:lang w:val="en-GB"/>
              </w:rPr>
              <w:t>-polarization</w:t>
            </w:r>
            <w:r>
              <w:rPr>
                <w:rFonts w:ascii="Arial" w:hAnsi="Arial" w:cs="Arial"/>
                <w:lang w:val="en-GB"/>
              </w:rPr>
              <w:t xml:space="preserve"> of the measurement&amp;link antenna</w:t>
            </w:r>
          </w:p>
          <w:p w14:paraId="704BAACB" w14:textId="1255D8DC" w:rsidR="00AE3C80" w:rsidRPr="00A31D72" w:rsidRDefault="00025F69" w:rsidP="00AE3C80">
            <w:pPr>
              <w:pStyle w:val="ListParagraph"/>
              <w:numPr>
                <w:ilvl w:val="0"/>
                <w:numId w:val="50"/>
              </w:numPr>
              <w:spacing w:after="0"/>
              <w:rPr>
                <w:lang w:val="en-GB"/>
              </w:rPr>
            </w:pPr>
            <w:r>
              <w:rPr>
                <w:rFonts w:ascii="Arial" w:hAnsi="Arial" w:cs="Arial"/>
                <w:lang w:val="en-GB"/>
              </w:rPr>
              <w:t>Determine</w:t>
            </w:r>
            <w:r w:rsidR="00AE3C80">
              <w:rPr>
                <w:rFonts w:ascii="Arial" w:hAnsi="Arial" w:cs="Arial"/>
                <w:lang w:val="en-GB"/>
              </w:rPr>
              <w:t xml:space="preserve"> EIS</w:t>
            </w:r>
            <w:r w:rsidR="00AE3C80">
              <w:rPr>
                <w:rFonts w:ascii="Symbol" w:hAnsi="Symbol" w:cs="Arial"/>
                <w:vertAlign w:val="subscript"/>
                <w:lang w:val="en-GB"/>
              </w:rPr>
              <w:t></w:t>
            </w:r>
            <w:r w:rsidR="00AE3C80" w:rsidRPr="00A31D72">
              <w:rPr>
                <w:rFonts w:ascii="Arial" w:hAnsi="Arial" w:cs="Arial"/>
                <w:lang w:val="en-GB"/>
              </w:rPr>
              <w:t xml:space="preserve"> </w:t>
            </w:r>
            <w:r w:rsidR="00AE3C80">
              <w:rPr>
                <w:rFonts w:ascii="Arial" w:hAnsi="Arial" w:cs="Arial"/>
                <w:lang w:val="en-GB"/>
              </w:rPr>
              <w:t xml:space="preserve">for </w:t>
            </w:r>
            <w:r w:rsidR="00AE3C80">
              <w:rPr>
                <w:rFonts w:ascii="Symbol" w:hAnsi="Symbol" w:cs="Arial"/>
                <w:lang w:val="en-GB"/>
              </w:rPr>
              <w:t></w:t>
            </w:r>
            <w:r w:rsidR="00AE3C80">
              <w:rPr>
                <w:rFonts w:ascii="Arial" w:hAnsi="Arial" w:cs="Arial"/>
                <w:lang w:val="en-GB"/>
              </w:rPr>
              <w:t>-polarization, i.e., the power level</w:t>
            </w:r>
            <w:r w:rsidR="00AE3C80" w:rsidRPr="00A31D72">
              <w:rPr>
                <w:rFonts w:ascii="Arial" w:hAnsi="Arial" w:cs="Arial"/>
                <w:lang w:val="en-GB"/>
              </w:rPr>
              <w:t xml:space="preserve"> </w:t>
            </w:r>
            <w:r w:rsidR="00AE3C80">
              <w:rPr>
                <w:rFonts w:ascii="Arial" w:hAnsi="Arial" w:cs="Arial"/>
                <w:lang w:val="en-GB"/>
              </w:rPr>
              <w:t xml:space="preserve">for the </w:t>
            </w:r>
            <w:r w:rsidR="00AE3C80">
              <w:rPr>
                <w:rFonts w:ascii="Symbol" w:hAnsi="Symbol" w:cs="Arial"/>
                <w:lang w:val="en-GB"/>
              </w:rPr>
              <w:t></w:t>
            </w:r>
            <w:r w:rsidR="00AE3C80" w:rsidRPr="00A31D72">
              <w:rPr>
                <w:rFonts w:ascii="Arial" w:hAnsi="Arial" w:cs="Arial"/>
                <w:lang w:val="en-GB"/>
              </w:rPr>
              <w:t>-polarization</w:t>
            </w:r>
            <w:r w:rsidR="00AE3C80">
              <w:rPr>
                <w:rFonts w:ascii="Arial" w:hAnsi="Arial" w:cs="Arial"/>
                <w:lang w:val="en-GB"/>
              </w:rPr>
              <w:t xml:space="preserve"> at which the throughput </w:t>
            </w:r>
            <w:r w:rsidR="00AE3C80" w:rsidRPr="00A31D72">
              <w:rPr>
                <w:rFonts w:ascii="Arial" w:hAnsi="Arial" w:cs="Arial"/>
                <w:lang w:val="en-GB"/>
              </w:rPr>
              <w:t>exceeds the requirements for the specified reference measurement channel</w:t>
            </w:r>
          </w:p>
          <w:p w14:paraId="21E4251C" w14:textId="77777777" w:rsidR="00AE3C80" w:rsidRPr="00F9620B" w:rsidRDefault="00AE3C80" w:rsidP="00AE3C80">
            <w:pPr>
              <w:pStyle w:val="ListParagraph"/>
              <w:numPr>
                <w:ilvl w:val="0"/>
                <w:numId w:val="50"/>
              </w:numPr>
              <w:spacing w:after="0"/>
              <w:rPr>
                <w:rFonts w:ascii="Arial" w:hAnsi="Arial" w:cs="Arial"/>
                <w:lang w:val="en-GB"/>
              </w:rPr>
            </w:pPr>
            <w:r>
              <w:rPr>
                <w:rFonts w:ascii="Arial" w:hAnsi="Arial" w:cs="Arial"/>
                <w:lang w:val="en-GB"/>
              </w:rPr>
              <w:t xml:space="preserve">Calculate the resulting EIS for the total component </w:t>
            </w:r>
            <w:r>
              <w:rPr>
                <w:rFonts w:ascii="Arial" w:hAnsi="Arial" w:cs="Arial"/>
                <w:lang w:val="en-GB"/>
              </w:rPr>
              <w:br/>
              <w:t>EIS</w:t>
            </w:r>
            <w:r w:rsidRPr="00691983">
              <w:rPr>
                <w:rFonts w:ascii="Arial" w:hAnsi="Arial" w:cs="Arial"/>
                <w:vertAlign w:val="subscript"/>
                <w:lang w:val="en-GB"/>
              </w:rPr>
              <w:t>T</w:t>
            </w:r>
            <w:r>
              <w:rPr>
                <w:rFonts w:ascii="Arial" w:hAnsi="Arial" w:cs="Arial"/>
                <w:lang w:val="en-GB"/>
              </w:rPr>
              <w:t>=[1/EIS</w:t>
            </w:r>
            <w:r w:rsidRPr="00A31D72">
              <w:rPr>
                <w:rFonts w:ascii="Symbol" w:hAnsi="Symbol" w:cs="Arial"/>
                <w:vertAlign w:val="subscript"/>
                <w:lang w:val="en-GB"/>
              </w:rPr>
              <w:t></w:t>
            </w:r>
            <w:r>
              <w:rPr>
                <w:rFonts w:ascii="Arial" w:hAnsi="Arial" w:cs="Arial"/>
                <w:lang w:val="en-GB"/>
              </w:rPr>
              <w:t xml:space="preserve"> +1/EIS</w:t>
            </w:r>
            <w:r>
              <w:rPr>
                <w:rFonts w:ascii="Symbol" w:hAnsi="Symbol" w:cs="Arial"/>
                <w:vertAlign w:val="subscript"/>
                <w:lang w:val="en-GB"/>
              </w:rPr>
              <w:t></w:t>
            </w:r>
            <w:r>
              <w:rPr>
                <w:rFonts w:ascii="Arial" w:hAnsi="Arial" w:cs="Arial"/>
                <w:lang w:val="en-GB"/>
              </w:rPr>
              <w:t>]</w:t>
            </w:r>
            <w:r w:rsidRPr="00A31D72">
              <w:rPr>
                <w:rFonts w:ascii="Arial" w:hAnsi="Arial" w:cs="Arial"/>
                <w:vertAlign w:val="superscript"/>
                <w:lang w:val="en-GB"/>
              </w:rPr>
              <w:t>-1</w:t>
            </w:r>
          </w:p>
          <w:p w14:paraId="447CD1C9" w14:textId="5182EBBB" w:rsidR="00AE3C80" w:rsidRPr="00AE3C80" w:rsidRDefault="00AE3C80" w:rsidP="00AE3C80">
            <w:pPr>
              <w:pStyle w:val="ListParagraph"/>
              <w:numPr>
                <w:ilvl w:val="0"/>
                <w:numId w:val="50"/>
              </w:numPr>
              <w:spacing w:after="0"/>
              <w:rPr>
                <w:rFonts w:ascii="Arial" w:hAnsi="Arial" w:cs="Arial"/>
                <w:lang w:val="en-GB"/>
              </w:rPr>
            </w:pPr>
            <w:r w:rsidRPr="00F9620B">
              <w:rPr>
                <w:rFonts w:ascii="Arial" w:hAnsi="Arial" w:cs="Arial"/>
                <w:lang w:val="en-GB"/>
              </w:rPr>
              <w:t>Determine whether REFSENS meets/exceeds EIS</w:t>
            </w:r>
            <w:r w:rsidRPr="00F9620B">
              <w:rPr>
                <w:rFonts w:ascii="Arial" w:hAnsi="Arial" w:cs="Arial"/>
                <w:vertAlign w:val="subscript"/>
                <w:lang w:val="en-GB"/>
              </w:rPr>
              <w:t>T</w:t>
            </w:r>
          </w:p>
        </w:tc>
      </w:tr>
    </w:tbl>
    <w:p w14:paraId="1F23BB40" w14:textId="77777777" w:rsidR="00AE3C80" w:rsidRPr="00AE3C80" w:rsidRDefault="00AE3C80" w:rsidP="00B4226E">
      <w:pPr>
        <w:rPr>
          <w:lang w:eastAsia="en-US"/>
        </w:rPr>
      </w:pPr>
    </w:p>
    <w:p w14:paraId="3A29FE70" w14:textId="1E481F8D" w:rsidR="00443E18" w:rsidRPr="009F7305" w:rsidRDefault="00443E18" w:rsidP="00443E18">
      <w:pPr>
        <w:rPr>
          <w:b/>
          <w:lang w:val="en-GB" w:eastAsia="en-US"/>
        </w:rPr>
      </w:pPr>
      <w:r w:rsidRPr="009F7305">
        <w:rPr>
          <w:b/>
          <w:lang w:val="en-GB" w:eastAsia="en-US"/>
        </w:rPr>
        <w:t xml:space="preserve">Proposal </w:t>
      </w:r>
      <w:r w:rsidR="00025F69">
        <w:rPr>
          <w:b/>
          <w:lang w:val="en-GB" w:eastAsia="en-US"/>
        </w:rPr>
        <w:t>1</w:t>
      </w:r>
      <w:r w:rsidRPr="009F7305">
        <w:rPr>
          <w:b/>
          <w:lang w:val="en-GB" w:eastAsia="en-US"/>
        </w:rPr>
        <w:t xml:space="preserve">: </w:t>
      </w:r>
      <w:r w:rsidR="00846179" w:rsidRPr="009F7305">
        <w:rPr>
          <w:b/>
          <w:lang w:val="en-GB" w:eastAsia="en-US"/>
        </w:rPr>
        <w:t xml:space="preserve">Select the REFSENS </w:t>
      </w:r>
      <w:r w:rsidR="00AE3C80" w:rsidRPr="009F7305">
        <w:rPr>
          <w:b/>
          <w:lang w:val="en-GB" w:eastAsia="en-US"/>
        </w:rPr>
        <w:t xml:space="preserve">measurement approach as outlined in </w:t>
      </w:r>
      <w:r w:rsidR="00AE3C80" w:rsidRPr="009F7305">
        <w:rPr>
          <w:b/>
          <w:lang w:val="en-GB" w:eastAsia="en-US"/>
        </w:rPr>
        <w:fldChar w:fldCharType="begin"/>
      </w:r>
      <w:r w:rsidR="00AE3C80" w:rsidRPr="009F7305">
        <w:rPr>
          <w:b/>
          <w:lang w:val="en-GB" w:eastAsia="en-US"/>
        </w:rPr>
        <w:instrText xml:space="preserve"> REF _Ref498628942 \h </w:instrText>
      </w:r>
      <w:r w:rsidR="009F7305" w:rsidRPr="009F7305">
        <w:rPr>
          <w:b/>
          <w:lang w:val="en-GB" w:eastAsia="en-US"/>
        </w:rPr>
        <w:instrText xml:space="preserve"> \* MERGEFORMAT </w:instrText>
      </w:r>
      <w:r w:rsidR="00AE3C80" w:rsidRPr="009F7305">
        <w:rPr>
          <w:b/>
          <w:lang w:val="en-GB" w:eastAsia="en-US"/>
        </w:rPr>
      </w:r>
      <w:r w:rsidR="00AE3C80" w:rsidRPr="009F7305">
        <w:rPr>
          <w:b/>
          <w:lang w:val="en-GB" w:eastAsia="en-US"/>
        </w:rPr>
        <w:fldChar w:fldCharType="separate"/>
      </w:r>
      <w:r w:rsidR="00AE3C80" w:rsidRPr="009F7305">
        <w:rPr>
          <w:b/>
        </w:rPr>
        <w:t xml:space="preserve">Table </w:t>
      </w:r>
      <w:r w:rsidR="00AE3C80" w:rsidRPr="009F7305">
        <w:rPr>
          <w:b/>
          <w:noProof/>
        </w:rPr>
        <w:t>1</w:t>
      </w:r>
      <w:r w:rsidR="00AE3C80" w:rsidRPr="009F7305">
        <w:rPr>
          <w:b/>
          <w:lang w:val="en-GB" w:eastAsia="en-US"/>
        </w:rPr>
        <w:fldChar w:fldCharType="end"/>
      </w:r>
    </w:p>
    <w:p w14:paraId="096B17B8" w14:textId="5EFA374E" w:rsidR="00DE468F" w:rsidRPr="00783B2D" w:rsidRDefault="00DE468F" w:rsidP="009F7305">
      <w:pPr>
        <w:rPr>
          <w:lang w:val="en-GB"/>
        </w:rPr>
      </w:pPr>
      <w:r>
        <w:rPr>
          <w:lang w:val="en-GB" w:eastAsia="en-US"/>
        </w:rPr>
        <w:t>It is therefore proposed to clarify the definition of the reference sensitivity power level to</w:t>
      </w:r>
      <w:r w:rsidR="007452A4">
        <w:rPr>
          <w:lang w:val="en-GB" w:eastAsia="en-US"/>
        </w:rPr>
        <w:t xml:space="preserve"> remove the reference of an OTA power level and to refer to EIS instead. </w:t>
      </w:r>
    </w:p>
    <w:p w14:paraId="0D1DF596" w14:textId="624E0F04" w:rsidR="009F7305" w:rsidRPr="009F7305" w:rsidRDefault="009F7305" w:rsidP="009F7305">
      <w:pPr>
        <w:rPr>
          <w:b/>
          <w:lang w:val="en-GB"/>
        </w:rPr>
      </w:pPr>
      <w:r w:rsidRPr="009F7305">
        <w:rPr>
          <w:b/>
          <w:lang w:val="en-GB" w:eastAsia="en-US"/>
        </w:rPr>
        <w:t xml:space="preserve">Proposal </w:t>
      </w:r>
      <w:r w:rsidR="00025F69">
        <w:rPr>
          <w:b/>
          <w:lang w:val="en-GB" w:eastAsia="en-US"/>
        </w:rPr>
        <w:t>2</w:t>
      </w:r>
      <w:r w:rsidRPr="009F7305">
        <w:rPr>
          <w:b/>
          <w:lang w:val="en-GB" w:eastAsia="en-US"/>
        </w:rPr>
        <w:t xml:space="preserve">: Define REFSENS as follows: The reference sensitivity power level REFSENS is the EIS level at </w:t>
      </w:r>
      <w:r w:rsidR="00491D03">
        <w:rPr>
          <w:b/>
          <w:lang w:val="en-GB" w:eastAsia="en-US"/>
        </w:rPr>
        <w:t xml:space="preserve">the </w:t>
      </w:r>
      <w:r w:rsidRPr="009F7305">
        <w:rPr>
          <w:b/>
          <w:lang w:val="en-GB" w:eastAsia="en-US"/>
        </w:rPr>
        <w:t>centre of the quiet zone in the RX beam peak direction at which the throughput shall meet or exceed the requirements for the specified reference measurement channel.</w:t>
      </w:r>
    </w:p>
    <w:p w14:paraId="521F0B10" w14:textId="3478FE46" w:rsidR="00DE468F" w:rsidRDefault="00DE468F" w:rsidP="009F7305">
      <w:pPr>
        <w:rPr>
          <w:lang w:val="en-GB" w:eastAsia="en-US"/>
        </w:rPr>
      </w:pPr>
    </w:p>
    <w:bookmarkEnd w:id="0"/>
    <w:bookmarkEnd w:id="1"/>
    <w:p w14:paraId="6A30F3C3" w14:textId="4406F571" w:rsidR="00EE0AC3" w:rsidRPr="00783B2D" w:rsidRDefault="005C769A" w:rsidP="00EE0AC3">
      <w:pPr>
        <w:pStyle w:val="Heading1"/>
        <w:rPr>
          <w:rFonts w:cs="Arial"/>
        </w:rPr>
      </w:pPr>
      <w:r>
        <w:rPr>
          <w:rFonts w:cs="Arial"/>
        </w:rPr>
        <w:t>Summary</w:t>
      </w:r>
    </w:p>
    <w:p w14:paraId="2C82A180" w14:textId="77777777" w:rsidR="00025F69" w:rsidRPr="009F7305" w:rsidRDefault="00025F69" w:rsidP="00025F69">
      <w:pPr>
        <w:rPr>
          <w:b/>
          <w:lang w:val="en-GB" w:eastAsia="en-US"/>
        </w:rPr>
      </w:pPr>
      <w:bookmarkStart w:id="7" w:name="_Ref473660868"/>
      <w:bookmarkStart w:id="8" w:name="_Ref473660708"/>
      <w:bookmarkStart w:id="9" w:name="OLE_LINK6"/>
      <w:bookmarkStart w:id="10" w:name="OLE_LINK7"/>
      <w:r w:rsidRPr="009F7305">
        <w:rPr>
          <w:b/>
          <w:lang w:val="en-GB" w:eastAsia="en-US"/>
        </w:rPr>
        <w:t xml:space="preserve">Proposal </w:t>
      </w:r>
      <w:r>
        <w:rPr>
          <w:b/>
          <w:lang w:val="en-GB" w:eastAsia="en-US"/>
        </w:rPr>
        <w:t>1</w:t>
      </w:r>
      <w:r w:rsidRPr="009F7305">
        <w:rPr>
          <w:b/>
          <w:lang w:val="en-GB" w:eastAsia="en-US"/>
        </w:rPr>
        <w:t xml:space="preserve">: Select the REFSENS measurement approach as outlined in </w:t>
      </w:r>
      <w:r w:rsidRPr="009F7305">
        <w:rPr>
          <w:b/>
          <w:lang w:val="en-GB" w:eastAsia="en-US"/>
        </w:rPr>
        <w:fldChar w:fldCharType="begin"/>
      </w:r>
      <w:r w:rsidRPr="009F7305">
        <w:rPr>
          <w:b/>
          <w:lang w:val="en-GB" w:eastAsia="en-US"/>
        </w:rPr>
        <w:instrText xml:space="preserve"> REF _Ref498628942 \h  \* MERGEFORMAT </w:instrText>
      </w:r>
      <w:r w:rsidRPr="009F7305">
        <w:rPr>
          <w:b/>
          <w:lang w:val="en-GB" w:eastAsia="en-US"/>
        </w:rPr>
      </w:r>
      <w:r w:rsidRPr="009F7305">
        <w:rPr>
          <w:b/>
          <w:lang w:val="en-GB" w:eastAsia="en-US"/>
        </w:rPr>
        <w:fldChar w:fldCharType="separate"/>
      </w:r>
      <w:r w:rsidRPr="009F7305">
        <w:rPr>
          <w:b/>
        </w:rPr>
        <w:t xml:space="preserve">Table </w:t>
      </w:r>
      <w:r w:rsidRPr="009F7305">
        <w:rPr>
          <w:b/>
          <w:noProof/>
        </w:rPr>
        <w:t>1</w:t>
      </w:r>
      <w:r w:rsidRPr="009F7305">
        <w:rPr>
          <w:b/>
          <w:lang w:val="en-GB" w:eastAsia="en-US"/>
        </w:rPr>
        <w:fldChar w:fldCharType="end"/>
      </w:r>
    </w:p>
    <w:p w14:paraId="7CDB32F4" w14:textId="1DFF388E" w:rsidR="00025F69" w:rsidRPr="009F7305" w:rsidRDefault="00025F69" w:rsidP="00025F69">
      <w:pPr>
        <w:rPr>
          <w:b/>
          <w:lang w:val="en-GB"/>
        </w:rPr>
      </w:pPr>
      <w:r w:rsidRPr="009F7305">
        <w:rPr>
          <w:b/>
          <w:lang w:val="en-GB" w:eastAsia="en-US"/>
        </w:rPr>
        <w:t xml:space="preserve">Proposal </w:t>
      </w:r>
      <w:r>
        <w:rPr>
          <w:b/>
          <w:lang w:val="en-GB" w:eastAsia="en-US"/>
        </w:rPr>
        <w:t>2</w:t>
      </w:r>
      <w:r w:rsidRPr="009F7305">
        <w:rPr>
          <w:b/>
          <w:lang w:val="en-GB" w:eastAsia="en-US"/>
        </w:rPr>
        <w:t xml:space="preserve">: Define REFSENS </w:t>
      </w:r>
      <w:r w:rsidR="007D40F6">
        <w:rPr>
          <w:b/>
          <w:lang w:val="en-GB" w:eastAsia="en-US"/>
        </w:rPr>
        <w:t xml:space="preserve">for FR2 </w:t>
      </w:r>
      <w:bookmarkStart w:id="11" w:name="_GoBack"/>
      <w:bookmarkEnd w:id="11"/>
      <w:r w:rsidRPr="009F7305">
        <w:rPr>
          <w:b/>
          <w:lang w:val="en-GB" w:eastAsia="en-US"/>
        </w:rPr>
        <w:t xml:space="preserve">as follows: The reference sensitivity power level REFSENS is the EIS level at </w:t>
      </w:r>
      <w:r w:rsidR="00491D03">
        <w:rPr>
          <w:b/>
          <w:lang w:val="en-GB" w:eastAsia="en-US"/>
        </w:rPr>
        <w:t xml:space="preserve">the </w:t>
      </w:r>
      <w:r w:rsidRPr="009F7305">
        <w:rPr>
          <w:b/>
          <w:lang w:val="en-GB" w:eastAsia="en-US"/>
        </w:rPr>
        <w:t>centre of the quiet zone in the RX beam peak direction at which the throughput shall meet or exceed the requirements for the specified reference measurement channel.</w:t>
      </w:r>
    </w:p>
    <w:p w14:paraId="2F366B8F" w14:textId="501CD318" w:rsidR="00563557" w:rsidRDefault="00563557" w:rsidP="005C769A">
      <w:pPr>
        <w:rPr>
          <w:lang w:val="en-GB" w:eastAsia="en-US"/>
        </w:rPr>
      </w:pPr>
    </w:p>
    <w:p w14:paraId="1559997D" w14:textId="01C347E3" w:rsidR="00030A7F" w:rsidRPr="00783B2D" w:rsidRDefault="00030A7F" w:rsidP="00030A7F">
      <w:pPr>
        <w:pStyle w:val="Heading1"/>
        <w:numPr>
          <w:ilvl w:val="0"/>
          <w:numId w:val="0"/>
        </w:numPr>
        <w:ind w:left="432" w:hanging="432"/>
        <w:rPr>
          <w:rFonts w:cs="Arial"/>
        </w:rPr>
      </w:pPr>
      <w:r w:rsidRPr="00783B2D">
        <w:rPr>
          <w:rFonts w:cs="Arial"/>
        </w:rPr>
        <w:lastRenderedPageBreak/>
        <w:t>References</w:t>
      </w:r>
    </w:p>
    <w:p w14:paraId="2BD718FE" w14:textId="523A3F27" w:rsidR="007913E8" w:rsidRDefault="007913E8" w:rsidP="007913E8">
      <w:pPr>
        <w:pStyle w:val="ListParagraph"/>
        <w:numPr>
          <w:ilvl w:val="0"/>
          <w:numId w:val="46"/>
        </w:numPr>
        <w:spacing w:after="0" w:line="240" w:lineRule="auto"/>
        <w:rPr>
          <w:lang w:val="en-GB"/>
        </w:rPr>
      </w:pPr>
      <w:bookmarkStart w:id="12" w:name="_Ref506467810"/>
      <w:r w:rsidRPr="007913E8">
        <w:rPr>
          <w:lang w:val="en-GB"/>
        </w:rPr>
        <w:t>R4-1800950</w:t>
      </w:r>
      <w:r w:rsidRPr="007913E8">
        <w:rPr>
          <w:lang w:val="en-GB"/>
        </w:rPr>
        <w:tab/>
        <w:t xml:space="preserve">Beam Peak Direction Clarification for FR2 EIRP Testing, </w:t>
      </w:r>
      <w:r>
        <w:rPr>
          <w:lang w:val="en-GB"/>
        </w:rPr>
        <w:t xml:space="preserve">Rohde&amp;Schwarz, </w:t>
      </w:r>
      <w:r w:rsidRPr="007913E8">
        <w:rPr>
          <w:lang w:val="en-GB"/>
        </w:rPr>
        <w:t>3GPP TSG RAN WG4 Meeting #AH-1801</w:t>
      </w:r>
      <w:r>
        <w:rPr>
          <w:lang w:val="en-GB"/>
        </w:rPr>
        <w:t>, January 2018</w:t>
      </w:r>
      <w:bookmarkEnd w:id="12"/>
    </w:p>
    <w:p w14:paraId="0A9686F4" w14:textId="04C1ACDD" w:rsidR="007913E8" w:rsidRDefault="007913E8" w:rsidP="007913E8">
      <w:pPr>
        <w:pStyle w:val="ListParagraph"/>
        <w:numPr>
          <w:ilvl w:val="0"/>
          <w:numId w:val="46"/>
        </w:numPr>
        <w:spacing w:after="0" w:line="240" w:lineRule="auto"/>
        <w:rPr>
          <w:lang w:val="en-GB"/>
        </w:rPr>
      </w:pPr>
      <w:bookmarkStart w:id="13" w:name="_Ref506468012"/>
      <w:r w:rsidRPr="00783B2D">
        <w:rPr>
          <w:lang w:val="en-GB"/>
        </w:rPr>
        <w:t>TS38.101-2, User Equipment (UE) radio transmission and reception; Part 2: Range 2 Standalone, V</w:t>
      </w:r>
      <w:r>
        <w:rPr>
          <w:lang w:val="en-GB"/>
        </w:rPr>
        <w:t>1</w:t>
      </w:r>
      <w:r w:rsidRPr="00783B2D">
        <w:rPr>
          <w:lang w:val="en-GB"/>
        </w:rPr>
        <w:t>.</w:t>
      </w:r>
      <w:r>
        <w:rPr>
          <w:lang w:val="en-GB"/>
        </w:rPr>
        <w:t>0</w:t>
      </w:r>
      <w:r w:rsidRPr="00783B2D">
        <w:rPr>
          <w:lang w:val="en-GB"/>
        </w:rPr>
        <w:t>.0 (2017-</w:t>
      </w:r>
      <w:r w:rsidR="00B765D7">
        <w:rPr>
          <w:lang w:val="en-GB"/>
        </w:rPr>
        <w:t>12</w:t>
      </w:r>
      <w:r w:rsidRPr="00783B2D">
        <w:rPr>
          <w:lang w:val="en-GB"/>
        </w:rPr>
        <w:t>)</w:t>
      </w:r>
      <w:bookmarkEnd w:id="13"/>
    </w:p>
    <w:p w14:paraId="1F959C34" w14:textId="4635E8F5" w:rsidR="007913E8" w:rsidRDefault="00CE0471" w:rsidP="00CE0471">
      <w:pPr>
        <w:pStyle w:val="ListParagraph"/>
        <w:numPr>
          <w:ilvl w:val="0"/>
          <w:numId w:val="46"/>
        </w:numPr>
        <w:spacing w:after="0" w:line="240" w:lineRule="auto"/>
        <w:rPr>
          <w:lang w:val="en-GB"/>
        </w:rPr>
      </w:pPr>
      <w:bookmarkStart w:id="14" w:name="_Ref506475222"/>
      <w:r w:rsidRPr="00CE0471">
        <w:rPr>
          <w:lang w:val="en-GB"/>
        </w:rPr>
        <w:t>R4-1713678</w:t>
      </w:r>
      <w:r>
        <w:rPr>
          <w:lang w:val="en-GB"/>
        </w:rPr>
        <w:t xml:space="preserve">, </w:t>
      </w:r>
      <w:r w:rsidRPr="00CE0471">
        <w:rPr>
          <w:lang w:val="en-GB"/>
        </w:rPr>
        <w:t>On Testing REFSENS using OTA for FR2</w:t>
      </w:r>
      <w:r>
        <w:rPr>
          <w:lang w:val="en-GB"/>
        </w:rPr>
        <w:t xml:space="preserve">, Rohde&amp;Schwarz, </w:t>
      </w:r>
      <w:r w:rsidRPr="00CE0471">
        <w:rPr>
          <w:lang w:val="en-GB"/>
        </w:rPr>
        <w:t>3GPP TSG RAN WG4 Meeting #85</w:t>
      </w:r>
      <w:r>
        <w:rPr>
          <w:lang w:val="en-GB"/>
        </w:rPr>
        <w:t>, November 2017</w:t>
      </w:r>
      <w:bookmarkEnd w:id="14"/>
    </w:p>
    <w:p w14:paraId="1D36CD75" w14:textId="1601F432" w:rsidR="00025F69" w:rsidRPr="00025F69" w:rsidRDefault="007D40F6" w:rsidP="007D40F6">
      <w:pPr>
        <w:pStyle w:val="ListParagraph"/>
        <w:numPr>
          <w:ilvl w:val="0"/>
          <w:numId w:val="46"/>
        </w:numPr>
        <w:spacing w:after="0" w:line="240" w:lineRule="auto"/>
        <w:rPr>
          <w:lang w:val="en-GB"/>
        </w:rPr>
      </w:pPr>
      <w:bookmarkStart w:id="15" w:name="_Ref506495737"/>
      <w:r w:rsidRPr="007D40F6">
        <w:rPr>
          <w:lang w:val="en-GB"/>
        </w:rPr>
        <w:t>R4-1802336</w:t>
      </w:r>
      <w:r w:rsidR="00025F69">
        <w:rPr>
          <w:lang w:val="en-GB"/>
        </w:rPr>
        <w:t xml:space="preserve">, On Peak Directions for FR2, Rohde&amp;Schwarz, </w:t>
      </w:r>
      <w:r w:rsidR="00025F69" w:rsidRPr="00CE0471">
        <w:rPr>
          <w:lang w:val="en-GB"/>
        </w:rPr>
        <w:t>3GPP TSG RAN WG4 Meeting #8</w:t>
      </w:r>
      <w:r w:rsidR="00025F69">
        <w:rPr>
          <w:lang w:val="en-GB"/>
        </w:rPr>
        <w:t>6, February 2018</w:t>
      </w:r>
      <w:bookmarkEnd w:id="15"/>
    </w:p>
    <w:bookmarkEnd w:id="7"/>
    <w:bookmarkEnd w:id="8"/>
    <w:bookmarkEnd w:id="9"/>
    <w:bookmarkEnd w:id="10"/>
    <w:p w14:paraId="3F053A66" w14:textId="0C3F7631" w:rsidR="001B137F" w:rsidRPr="00783B2D" w:rsidRDefault="001B137F" w:rsidP="001747B0">
      <w:pPr>
        <w:spacing w:after="0" w:line="240" w:lineRule="auto"/>
        <w:ind w:left="720" w:hanging="720"/>
        <w:rPr>
          <w:lang w:val="en-GB"/>
        </w:rPr>
      </w:pPr>
    </w:p>
    <w:sectPr w:rsidR="001B137F" w:rsidRPr="00783B2D"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843F64" w14:textId="77777777" w:rsidR="007045DA" w:rsidRDefault="007045DA" w:rsidP="00371D7D">
      <w:r>
        <w:separator/>
      </w:r>
    </w:p>
  </w:endnote>
  <w:endnote w:type="continuationSeparator" w:id="0">
    <w:p w14:paraId="25ADB15E" w14:textId="77777777" w:rsidR="007045DA" w:rsidRDefault="007045DA"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5C20B786" w:rsidR="009C2950" w:rsidRPr="000E7B1E" w:rsidRDefault="009C2950"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7D40F6">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0A5714" w14:textId="77777777" w:rsidR="007045DA" w:rsidRDefault="007045DA" w:rsidP="00371D7D">
      <w:r>
        <w:separator/>
      </w:r>
    </w:p>
  </w:footnote>
  <w:footnote w:type="continuationSeparator" w:id="0">
    <w:p w14:paraId="05590B01" w14:textId="77777777" w:rsidR="007045DA" w:rsidRDefault="007045DA"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4180D92"/>
    <w:multiLevelType w:val="hybridMultilevel"/>
    <w:tmpl w:val="98428F2C"/>
    <w:lvl w:ilvl="0" w:tplc="09706674">
      <w:start w:val="1"/>
      <w:numFmt w:val="bullet"/>
      <w:lvlText w:val="•"/>
      <w:lvlJc w:val="left"/>
      <w:pPr>
        <w:tabs>
          <w:tab w:val="num" w:pos="720"/>
        </w:tabs>
        <w:ind w:left="720" w:hanging="360"/>
      </w:pPr>
      <w:rPr>
        <w:rFonts w:ascii="Arial" w:hAnsi="Arial" w:hint="default"/>
      </w:rPr>
    </w:lvl>
    <w:lvl w:ilvl="1" w:tplc="E0F49DB6">
      <w:start w:val="1"/>
      <w:numFmt w:val="bullet"/>
      <w:lvlText w:val="•"/>
      <w:lvlJc w:val="left"/>
      <w:pPr>
        <w:tabs>
          <w:tab w:val="num" w:pos="1440"/>
        </w:tabs>
        <w:ind w:left="1440" w:hanging="360"/>
      </w:pPr>
      <w:rPr>
        <w:rFonts w:ascii="Arial" w:hAnsi="Arial" w:hint="default"/>
      </w:rPr>
    </w:lvl>
    <w:lvl w:ilvl="2" w:tplc="E1CA9E0E" w:tentative="1">
      <w:start w:val="1"/>
      <w:numFmt w:val="bullet"/>
      <w:lvlText w:val="•"/>
      <w:lvlJc w:val="left"/>
      <w:pPr>
        <w:tabs>
          <w:tab w:val="num" w:pos="2160"/>
        </w:tabs>
        <w:ind w:left="2160" w:hanging="360"/>
      </w:pPr>
      <w:rPr>
        <w:rFonts w:ascii="Arial" w:hAnsi="Arial" w:hint="default"/>
      </w:rPr>
    </w:lvl>
    <w:lvl w:ilvl="3" w:tplc="EF726C2A" w:tentative="1">
      <w:start w:val="1"/>
      <w:numFmt w:val="bullet"/>
      <w:lvlText w:val="•"/>
      <w:lvlJc w:val="left"/>
      <w:pPr>
        <w:tabs>
          <w:tab w:val="num" w:pos="2880"/>
        </w:tabs>
        <w:ind w:left="2880" w:hanging="360"/>
      </w:pPr>
      <w:rPr>
        <w:rFonts w:ascii="Arial" w:hAnsi="Arial" w:hint="default"/>
      </w:rPr>
    </w:lvl>
    <w:lvl w:ilvl="4" w:tplc="ECD89D7E" w:tentative="1">
      <w:start w:val="1"/>
      <w:numFmt w:val="bullet"/>
      <w:lvlText w:val="•"/>
      <w:lvlJc w:val="left"/>
      <w:pPr>
        <w:tabs>
          <w:tab w:val="num" w:pos="3600"/>
        </w:tabs>
        <w:ind w:left="3600" w:hanging="360"/>
      </w:pPr>
      <w:rPr>
        <w:rFonts w:ascii="Arial" w:hAnsi="Arial" w:hint="default"/>
      </w:rPr>
    </w:lvl>
    <w:lvl w:ilvl="5" w:tplc="834A2716" w:tentative="1">
      <w:start w:val="1"/>
      <w:numFmt w:val="bullet"/>
      <w:lvlText w:val="•"/>
      <w:lvlJc w:val="left"/>
      <w:pPr>
        <w:tabs>
          <w:tab w:val="num" w:pos="4320"/>
        </w:tabs>
        <w:ind w:left="4320" w:hanging="360"/>
      </w:pPr>
      <w:rPr>
        <w:rFonts w:ascii="Arial" w:hAnsi="Arial" w:hint="default"/>
      </w:rPr>
    </w:lvl>
    <w:lvl w:ilvl="6" w:tplc="BF8833FE" w:tentative="1">
      <w:start w:val="1"/>
      <w:numFmt w:val="bullet"/>
      <w:lvlText w:val="•"/>
      <w:lvlJc w:val="left"/>
      <w:pPr>
        <w:tabs>
          <w:tab w:val="num" w:pos="5040"/>
        </w:tabs>
        <w:ind w:left="5040" w:hanging="360"/>
      </w:pPr>
      <w:rPr>
        <w:rFonts w:ascii="Arial" w:hAnsi="Arial" w:hint="default"/>
      </w:rPr>
    </w:lvl>
    <w:lvl w:ilvl="7" w:tplc="DE4EEB0E" w:tentative="1">
      <w:start w:val="1"/>
      <w:numFmt w:val="bullet"/>
      <w:lvlText w:val="•"/>
      <w:lvlJc w:val="left"/>
      <w:pPr>
        <w:tabs>
          <w:tab w:val="num" w:pos="5760"/>
        </w:tabs>
        <w:ind w:left="5760" w:hanging="360"/>
      </w:pPr>
      <w:rPr>
        <w:rFonts w:ascii="Arial" w:hAnsi="Arial" w:hint="default"/>
      </w:rPr>
    </w:lvl>
    <w:lvl w:ilvl="8" w:tplc="0E46F38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4"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7"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8"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21"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5" w15:restartNumberingAfterBreak="0">
    <w:nsid w:val="51310F8A"/>
    <w:multiLevelType w:val="hybridMultilevel"/>
    <w:tmpl w:val="BB46E81A"/>
    <w:lvl w:ilvl="0" w:tplc="F0F0A59A">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E230613"/>
    <w:multiLevelType w:val="hybridMultilevel"/>
    <w:tmpl w:val="8BE66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6"/>
  </w:num>
  <w:num w:numId="2">
    <w:abstractNumId w:val="15"/>
  </w:num>
  <w:num w:numId="3">
    <w:abstractNumId w:val="20"/>
  </w:num>
  <w:num w:numId="4">
    <w:abstractNumId w:val="34"/>
  </w:num>
  <w:num w:numId="5">
    <w:abstractNumId w:val="20"/>
  </w:num>
  <w:num w:numId="6">
    <w:abstractNumId w:val="20"/>
  </w:num>
  <w:num w:numId="7">
    <w:abstractNumId w:val="20"/>
  </w:num>
  <w:num w:numId="8">
    <w:abstractNumId w:val="20"/>
  </w:num>
  <w:num w:numId="9">
    <w:abstractNumId w:val="19"/>
  </w:num>
  <w:num w:numId="10">
    <w:abstractNumId w:val="21"/>
  </w:num>
  <w:num w:numId="11">
    <w:abstractNumId w:val="18"/>
  </w:num>
  <w:num w:numId="12">
    <w:abstractNumId w:val="17"/>
  </w:num>
  <w:num w:numId="13">
    <w:abstractNumId w:val="37"/>
  </w:num>
  <w:num w:numId="14">
    <w:abstractNumId w:val="20"/>
  </w:num>
  <w:num w:numId="15">
    <w:abstractNumId w:val="29"/>
  </w:num>
  <w:num w:numId="16">
    <w:abstractNumId w:val="14"/>
  </w:num>
  <w:num w:numId="17">
    <w:abstractNumId w:val="11"/>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5"/>
  </w:num>
  <w:num w:numId="23">
    <w:abstractNumId w:val="20"/>
  </w:num>
  <w:num w:numId="24">
    <w:abstractNumId w:val="12"/>
  </w:num>
  <w:num w:numId="25">
    <w:abstractNumId w:val="13"/>
  </w:num>
  <w:num w:numId="26">
    <w:abstractNumId w:val="20"/>
  </w:num>
  <w:num w:numId="27">
    <w:abstractNumId w:val="22"/>
  </w:num>
  <w:num w:numId="28">
    <w:abstractNumId w:val="5"/>
  </w:num>
  <w:num w:numId="29">
    <w:abstractNumId w:val="27"/>
  </w:num>
  <w:num w:numId="30">
    <w:abstractNumId w:val="32"/>
  </w:num>
  <w:num w:numId="31">
    <w:abstractNumId w:val="31"/>
  </w:num>
  <w:num w:numId="32">
    <w:abstractNumId w:val="9"/>
  </w:num>
  <w:num w:numId="33">
    <w:abstractNumId w:val="39"/>
  </w:num>
  <w:num w:numId="34">
    <w:abstractNumId w:val="4"/>
  </w:num>
  <w:num w:numId="35">
    <w:abstractNumId w:val="16"/>
  </w:num>
  <w:num w:numId="36">
    <w:abstractNumId w:val="30"/>
  </w:num>
  <w:num w:numId="37">
    <w:abstractNumId w:val="24"/>
  </w:num>
  <w:num w:numId="38">
    <w:abstractNumId w:val="38"/>
  </w:num>
  <w:num w:numId="39">
    <w:abstractNumId w:val="28"/>
  </w:num>
  <w:num w:numId="40">
    <w:abstractNumId w:val="36"/>
  </w:num>
  <w:num w:numId="41">
    <w:abstractNumId w:val="26"/>
  </w:num>
  <w:num w:numId="42">
    <w:abstractNumId w:val="20"/>
  </w:num>
  <w:num w:numId="43">
    <w:abstractNumId w:val="20"/>
  </w:num>
  <w:num w:numId="44">
    <w:abstractNumId w:val="3"/>
  </w:num>
  <w:num w:numId="45">
    <w:abstractNumId w:val="8"/>
  </w:num>
  <w:num w:numId="46">
    <w:abstractNumId w:val="10"/>
  </w:num>
  <w:num w:numId="47">
    <w:abstractNumId w:val="0"/>
  </w:num>
  <w:num w:numId="48">
    <w:abstractNumId w:val="33"/>
  </w:num>
  <w:num w:numId="49">
    <w:abstractNumId w:val="2"/>
  </w:num>
  <w:num w:numId="5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25F69"/>
    <w:rsid w:val="000304B0"/>
    <w:rsid w:val="00030A7F"/>
    <w:rsid w:val="00030EFF"/>
    <w:rsid w:val="00032AC4"/>
    <w:rsid w:val="00033040"/>
    <w:rsid w:val="000357C4"/>
    <w:rsid w:val="00035950"/>
    <w:rsid w:val="00036082"/>
    <w:rsid w:val="00037F59"/>
    <w:rsid w:val="000402B6"/>
    <w:rsid w:val="00040F64"/>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86AA6"/>
    <w:rsid w:val="00092C97"/>
    <w:rsid w:val="00094191"/>
    <w:rsid w:val="00096AAF"/>
    <w:rsid w:val="000A0514"/>
    <w:rsid w:val="000A1FFE"/>
    <w:rsid w:val="000A262C"/>
    <w:rsid w:val="000A2FB0"/>
    <w:rsid w:val="000A3642"/>
    <w:rsid w:val="000A4DEE"/>
    <w:rsid w:val="000A5328"/>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27E"/>
    <w:rsid w:val="000D68AB"/>
    <w:rsid w:val="000D79F1"/>
    <w:rsid w:val="000E00AB"/>
    <w:rsid w:val="000E549D"/>
    <w:rsid w:val="000E65E5"/>
    <w:rsid w:val="000E75B0"/>
    <w:rsid w:val="000E7B1E"/>
    <w:rsid w:val="000F2169"/>
    <w:rsid w:val="000F67B1"/>
    <w:rsid w:val="00100D39"/>
    <w:rsid w:val="0010446A"/>
    <w:rsid w:val="0010792C"/>
    <w:rsid w:val="00107FB9"/>
    <w:rsid w:val="00110B13"/>
    <w:rsid w:val="001114C1"/>
    <w:rsid w:val="00112164"/>
    <w:rsid w:val="001137DA"/>
    <w:rsid w:val="0011436A"/>
    <w:rsid w:val="001147B0"/>
    <w:rsid w:val="00114995"/>
    <w:rsid w:val="00116DFF"/>
    <w:rsid w:val="001178F0"/>
    <w:rsid w:val="00117F9C"/>
    <w:rsid w:val="00123745"/>
    <w:rsid w:val="00123D77"/>
    <w:rsid w:val="00126CE6"/>
    <w:rsid w:val="00132BDD"/>
    <w:rsid w:val="001339FF"/>
    <w:rsid w:val="001378A7"/>
    <w:rsid w:val="0015068F"/>
    <w:rsid w:val="001530C0"/>
    <w:rsid w:val="00153604"/>
    <w:rsid w:val="001553DE"/>
    <w:rsid w:val="0015692F"/>
    <w:rsid w:val="0016379A"/>
    <w:rsid w:val="00164040"/>
    <w:rsid w:val="00167CAD"/>
    <w:rsid w:val="00167FB4"/>
    <w:rsid w:val="0017275D"/>
    <w:rsid w:val="00172D17"/>
    <w:rsid w:val="0017394F"/>
    <w:rsid w:val="001747B0"/>
    <w:rsid w:val="00174ED5"/>
    <w:rsid w:val="00176658"/>
    <w:rsid w:val="00176791"/>
    <w:rsid w:val="00180494"/>
    <w:rsid w:val="001810A2"/>
    <w:rsid w:val="00184003"/>
    <w:rsid w:val="00193A3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D707D"/>
    <w:rsid w:val="001E0A0B"/>
    <w:rsid w:val="001E190C"/>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6B"/>
    <w:rsid w:val="00217EE9"/>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2519"/>
    <w:rsid w:val="00265BC6"/>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6956"/>
    <w:rsid w:val="002B7900"/>
    <w:rsid w:val="002C098B"/>
    <w:rsid w:val="002C3A3C"/>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D8F"/>
    <w:rsid w:val="00316F3F"/>
    <w:rsid w:val="003200D8"/>
    <w:rsid w:val="0032672D"/>
    <w:rsid w:val="003300C3"/>
    <w:rsid w:val="00330686"/>
    <w:rsid w:val="003321C2"/>
    <w:rsid w:val="00332D69"/>
    <w:rsid w:val="003344C4"/>
    <w:rsid w:val="00334F04"/>
    <w:rsid w:val="003434B3"/>
    <w:rsid w:val="00344B2B"/>
    <w:rsid w:val="0035204A"/>
    <w:rsid w:val="0036038D"/>
    <w:rsid w:val="00360476"/>
    <w:rsid w:val="003607C5"/>
    <w:rsid w:val="003608E0"/>
    <w:rsid w:val="00361F02"/>
    <w:rsid w:val="003660C7"/>
    <w:rsid w:val="003664A2"/>
    <w:rsid w:val="00367E6D"/>
    <w:rsid w:val="00371D7D"/>
    <w:rsid w:val="003722DF"/>
    <w:rsid w:val="00372474"/>
    <w:rsid w:val="003728C6"/>
    <w:rsid w:val="00372DAC"/>
    <w:rsid w:val="00373FF2"/>
    <w:rsid w:val="003750AC"/>
    <w:rsid w:val="0037625B"/>
    <w:rsid w:val="00377106"/>
    <w:rsid w:val="00381242"/>
    <w:rsid w:val="003812CA"/>
    <w:rsid w:val="003838EA"/>
    <w:rsid w:val="00384B70"/>
    <w:rsid w:val="0038590F"/>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3F58CF"/>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3E18"/>
    <w:rsid w:val="00445FD4"/>
    <w:rsid w:val="00446661"/>
    <w:rsid w:val="00451093"/>
    <w:rsid w:val="00452778"/>
    <w:rsid w:val="00455988"/>
    <w:rsid w:val="00457EE8"/>
    <w:rsid w:val="00460804"/>
    <w:rsid w:val="004614C5"/>
    <w:rsid w:val="0046181B"/>
    <w:rsid w:val="0046280F"/>
    <w:rsid w:val="004641CE"/>
    <w:rsid w:val="00465DA7"/>
    <w:rsid w:val="0046755F"/>
    <w:rsid w:val="00467D7B"/>
    <w:rsid w:val="00470182"/>
    <w:rsid w:val="00473048"/>
    <w:rsid w:val="00474149"/>
    <w:rsid w:val="00475793"/>
    <w:rsid w:val="00477362"/>
    <w:rsid w:val="00477BB8"/>
    <w:rsid w:val="00480E62"/>
    <w:rsid w:val="00481B3C"/>
    <w:rsid w:val="004820A0"/>
    <w:rsid w:val="004858E1"/>
    <w:rsid w:val="0048673D"/>
    <w:rsid w:val="00487FC3"/>
    <w:rsid w:val="00491A62"/>
    <w:rsid w:val="00491D03"/>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1DB"/>
    <w:rsid w:val="004C0EA3"/>
    <w:rsid w:val="004C6EB0"/>
    <w:rsid w:val="004D269F"/>
    <w:rsid w:val="004D2DCF"/>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64DF"/>
    <w:rsid w:val="00516D9C"/>
    <w:rsid w:val="00517DEB"/>
    <w:rsid w:val="005208AB"/>
    <w:rsid w:val="00521C12"/>
    <w:rsid w:val="0052278C"/>
    <w:rsid w:val="00522D04"/>
    <w:rsid w:val="005242EF"/>
    <w:rsid w:val="005247E8"/>
    <w:rsid w:val="005247FF"/>
    <w:rsid w:val="0052481A"/>
    <w:rsid w:val="00524CE0"/>
    <w:rsid w:val="00525441"/>
    <w:rsid w:val="00533FBD"/>
    <w:rsid w:val="00534096"/>
    <w:rsid w:val="005346EC"/>
    <w:rsid w:val="005356CB"/>
    <w:rsid w:val="005374EC"/>
    <w:rsid w:val="00537AA4"/>
    <w:rsid w:val="00542862"/>
    <w:rsid w:val="0054542C"/>
    <w:rsid w:val="005466D7"/>
    <w:rsid w:val="00551E7D"/>
    <w:rsid w:val="00552E60"/>
    <w:rsid w:val="005535D7"/>
    <w:rsid w:val="0055483C"/>
    <w:rsid w:val="005549FE"/>
    <w:rsid w:val="00557539"/>
    <w:rsid w:val="005616A9"/>
    <w:rsid w:val="00563557"/>
    <w:rsid w:val="00564786"/>
    <w:rsid w:val="00565D1E"/>
    <w:rsid w:val="00565E03"/>
    <w:rsid w:val="00566B4A"/>
    <w:rsid w:val="00566EE0"/>
    <w:rsid w:val="00567127"/>
    <w:rsid w:val="005678D2"/>
    <w:rsid w:val="00570805"/>
    <w:rsid w:val="005718E4"/>
    <w:rsid w:val="00571AAB"/>
    <w:rsid w:val="005823BA"/>
    <w:rsid w:val="00583905"/>
    <w:rsid w:val="00584B1A"/>
    <w:rsid w:val="00586465"/>
    <w:rsid w:val="00590023"/>
    <w:rsid w:val="00594B54"/>
    <w:rsid w:val="005964E4"/>
    <w:rsid w:val="005A04AB"/>
    <w:rsid w:val="005C1279"/>
    <w:rsid w:val="005C517E"/>
    <w:rsid w:val="005C5210"/>
    <w:rsid w:val="005C769A"/>
    <w:rsid w:val="005D1F23"/>
    <w:rsid w:val="005D21DE"/>
    <w:rsid w:val="005D278E"/>
    <w:rsid w:val="005D36C5"/>
    <w:rsid w:val="005D37FD"/>
    <w:rsid w:val="005D3C2A"/>
    <w:rsid w:val="005D4744"/>
    <w:rsid w:val="005D4B7F"/>
    <w:rsid w:val="005D5F80"/>
    <w:rsid w:val="005E5410"/>
    <w:rsid w:val="005E59B9"/>
    <w:rsid w:val="005E5E5F"/>
    <w:rsid w:val="005F054B"/>
    <w:rsid w:val="005F1B0E"/>
    <w:rsid w:val="005F2CC8"/>
    <w:rsid w:val="005F2E71"/>
    <w:rsid w:val="005F2EDB"/>
    <w:rsid w:val="005F37CF"/>
    <w:rsid w:val="00600741"/>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2968"/>
    <w:rsid w:val="00642BD3"/>
    <w:rsid w:val="00642BF0"/>
    <w:rsid w:val="00645237"/>
    <w:rsid w:val="006466C9"/>
    <w:rsid w:val="00654178"/>
    <w:rsid w:val="00660959"/>
    <w:rsid w:val="0066196E"/>
    <w:rsid w:val="006625CB"/>
    <w:rsid w:val="00664F1A"/>
    <w:rsid w:val="006652DA"/>
    <w:rsid w:val="00667A9C"/>
    <w:rsid w:val="006720B2"/>
    <w:rsid w:val="00674D96"/>
    <w:rsid w:val="00675624"/>
    <w:rsid w:val="00680FDD"/>
    <w:rsid w:val="00682781"/>
    <w:rsid w:val="0068305A"/>
    <w:rsid w:val="00683E9D"/>
    <w:rsid w:val="00690B06"/>
    <w:rsid w:val="00691983"/>
    <w:rsid w:val="00692F61"/>
    <w:rsid w:val="00693AEE"/>
    <w:rsid w:val="00695240"/>
    <w:rsid w:val="00695DD5"/>
    <w:rsid w:val="006961C0"/>
    <w:rsid w:val="006A00E4"/>
    <w:rsid w:val="006A0B58"/>
    <w:rsid w:val="006A0D0C"/>
    <w:rsid w:val="006A1F8E"/>
    <w:rsid w:val="006A2B2B"/>
    <w:rsid w:val="006A3BBA"/>
    <w:rsid w:val="006A5DB3"/>
    <w:rsid w:val="006A6F49"/>
    <w:rsid w:val="006A7586"/>
    <w:rsid w:val="006A7894"/>
    <w:rsid w:val="006B01BC"/>
    <w:rsid w:val="006B0E15"/>
    <w:rsid w:val="006B508B"/>
    <w:rsid w:val="006B72D8"/>
    <w:rsid w:val="006B7575"/>
    <w:rsid w:val="006C049B"/>
    <w:rsid w:val="006C1445"/>
    <w:rsid w:val="006C388F"/>
    <w:rsid w:val="006C3FA8"/>
    <w:rsid w:val="006C4C67"/>
    <w:rsid w:val="006C4E24"/>
    <w:rsid w:val="006C60BB"/>
    <w:rsid w:val="006C6ACE"/>
    <w:rsid w:val="006C74FF"/>
    <w:rsid w:val="006D3FD0"/>
    <w:rsid w:val="006D46B5"/>
    <w:rsid w:val="006D5D7E"/>
    <w:rsid w:val="006E0307"/>
    <w:rsid w:val="006E1A7C"/>
    <w:rsid w:val="006E1D64"/>
    <w:rsid w:val="006E4F64"/>
    <w:rsid w:val="006E5BCE"/>
    <w:rsid w:val="006E6577"/>
    <w:rsid w:val="006E7C54"/>
    <w:rsid w:val="006F1D3A"/>
    <w:rsid w:val="006F2C16"/>
    <w:rsid w:val="006F4D66"/>
    <w:rsid w:val="006F4E04"/>
    <w:rsid w:val="006F563A"/>
    <w:rsid w:val="006F73CF"/>
    <w:rsid w:val="006F7C37"/>
    <w:rsid w:val="007008DF"/>
    <w:rsid w:val="0070104D"/>
    <w:rsid w:val="00701E18"/>
    <w:rsid w:val="007045DA"/>
    <w:rsid w:val="00706CB9"/>
    <w:rsid w:val="00707FFC"/>
    <w:rsid w:val="00712BF6"/>
    <w:rsid w:val="007138CB"/>
    <w:rsid w:val="00714D81"/>
    <w:rsid w:val="007174F8"/>
    <w:rsid w:val="00720003"/>
    <w:rsid w:val="00720FB7"/>
    <w:rsid w:val="00724558"/>
    <w:rsid w:val="007246E4"/>
    <w:rsid w:val="00731B27"/>
    <w:rsid w:val="007327DA"/>
    <w:rsid w:val="00733D87"/>
    <w:rsid w:val="00735D1F"/>
    <w:rsid w:val="00744D61"/>
    <w:rsid w:val="007452A4"/>
    <w:rsid w:val="00746B62"/>
    <w:rsid w:val="007477D2"/>
    <w:rsid w:val="00747FFE"/>
    <w:rsid w:val="0075036F"/>
    <w:rsid w:val="007510C4"/>
    <w:rsid w:val="0075542E"/>
    <w:rsid w:val="00756A2B"/>
    <w:rsid w:val="00757245"/>
    <w:rsid w:val="00757D7D"/>
    <w:rsid w:val="00761AED"/>
    <w:rsid w:val="007636DE"/>
    <w:rsid w:val="00765F55"/>
    <w:rsid w:val="007706D0"/>
    <w:rsid w:val="00773BDA"/>
    <w:rsid w:val="00773C96"/>
    <w:rsid w:val="00773DCA"/>
    <w:rsid w:val="0077400D"/>
    <w:rsid w:val="007742E7"/>
    <w:rsid w:val="00776D6B"/>
    <w:rsid w:val="007827F7"/>
    <w:rsid w:val="00783B2D"/>
    <w:rsid w:val="007842C7"/>
    <w:rsid w:val="007913E8"/>
    <w:rsid w:val="007927C1"/>
    <w:rsid w:val="00793EA4"/>
    <w:rsid w:val="007944C3"/>
    <w:rsid w:val="00797969"/>
    <w:rsid w:val="007A422E"/>
    <w:rsid w:val="007A68E2"/>
    <w:rsid w:val="007A7270"/>
    <w:rsid w:val="007B0569"/>
    <w:rsid w:val="007B1E81"/>
    <w:rsid w:val="007B36E6"/>
    <w:rsid w:val="007B49AC"/>
    <w:rsid w:val="007B6328"/>
    <w:rsid w:val="007B6733"/>
    <w:rsid w:val="007B6ADB"/>
    <w:rsid w:val="007C0E2A"/>
    <w:rsid w:val="007C1887"/>
    <w:rsid w:val="007C221F"/>
    <w:rsid w:val="007C54E4"/>
    <w:rsid w:val="007C6CC6"/>
    <w:rsid w:val="007C7077"/>
    <w:rsid w:val="007C7AEC"/>
    <w:rsid w:val="007D15F5"/>
    <w:rsid w:val="007D35D4"/>
    <w:rsid w:val="007D3DED"/>
    <w:rsid w:val="007D40F6"/>
    <w:rsid w:val="007D4BD9"/>
    <w:rsid w:val="007D632A"/>
    <w:rsid w:val="007E144D"/>
    <w:rsid w:val="007E1A21"/>
    <w:rsid w:val="007E29DD"/>
    <w:rsid w:val="007E47C9"/>
    <w:rsid w:val="007E542F"/>
    <w:rsid w:val="007E6D3C"/>
    <w:rsid w:val="007E74D3"/>
    <w:rsid w:val="007E75B3"/>
    <w:rsid w:val="007F63B8"/>
    <w:rsid w:val="00802A02"/>
    <w:rsid w:val="00802F82"/>
    <w:rsid w:val="008031B7"/>
    <w:rsid w:val="00803ADC"/>
    <w:rsid w:val="00803D35"/>
    <w:rsid w:val="00805D56"/>
    <w:rsid w:val="008064E5"/>
    <w:rsid w:val="00811A7C"/>
    <w:rsid w:val="00814716"/>
    <w:rsid w:val="00815718"/>
    <w:rsid w:val="008159B1"/>
    <w:rsid w:val="008211B6"/>
    <w:rsid w:val="008222DF"/>
    <w:rsid w:val="00825E45"/>
    <w:rsid w:val="008308BD"/>
    <w:rsid w:val="00831E58"/>
    <w:rsid w:val="0083554F"/>
    <w:rsid w:val="00836315"/>
    <w:rsid w:val="00837DB8"/>
    <w:rsid w:val="00843E54"/>
    <w:rsid w:val="00844428"/>
    <w:rsid w:val="00844B0E"/>
    <w:rsid w:val="00846179"/>
    <w:rsid w:val="00846CBA"/>
    <w:rsid w:val="00861EA4"/>
    <w:rsid w:val="00862AFA"/>
    <w:rsid w:val="00863700"/>
    <w:rsid w:val="0086567A"/>
    <w:rsid w:val="00865D16"/>
    <w:rsid w:val="008678EB"/>
    <w:rsid w:val="00867C2A"/>
    <w:rsid w:val="00870546"/>
    <w:rsid w:val="00870C53"/>
    <w:rsid w:val="00871558"/>
    <w:rsid w:val="00871F58"/>
    <w:rsid w:val="00872FCD"/>
    <w:rsid w:val="008731C9"/>
    <w:rsid w:val="00874DFB"/>
    <w:rsid w:val="00875139"/>
    <w:rsid w:val="0087559E"/>
    <w:rsid w:val="00875D1D"/>
    <w:rsid w:val="008818BD"/>
    <w:rsid w:val="00882425"/>
    <w:rsid w:val="00882F18"/>
    <w:rsid w:val="00887996"/>
    <w:rsid w:val="008919FA"/>
    <w:rsid w:val="00894205"/>
    <w:rsid w:val="008948CA"/>
    <w:rsid w:val="008966F6"/>
    <w:rsid w:val="008979EA"/>
    <w:rsid w:val="008A4559"/>
    <w:rsid w:val="008A4F4D"/>
    <w:rsid w:val="008A5259"/>
    <w:rsid w:val="008B0514"/>
    <w:rsid w:val="008B12D0"/>
    <w:rsid w:val="008B3E44"/>
    <w:rsid w:val="008B4257"/>
    <w:rsid w:val="008B76AE"/>
    <w:rsid w:val="008B7827"/>
    <w:rsid w:val="008B7853"/>
    <w:rsid w:val="008C2395"/>
    <w:rsid w:val="008C291E"/>
    <w:rsid w:val="008C2C73"/>
    <w:rsid w:val="008C31F8"/>
    <w:rsid w:val="008C77C6"/>
    <w:rsid w:val="008D0A86"/>
    <w:rsid w:val="008D2D94"/>
    <w:rsid w:val="008D552A"/>
    <w:rsid w:val="008D6EF1"/>
    <w:rsid w:val="008D7189"/>
    <w:rsid w:val="008D797C"/>
    <w:rsid w:val="008D7BA0"/>
    <w:rsid w:val="008E0FC4"/>
    <w:rsid w:val="008E1A2B"/>
    <w:rsid w:val="008E5CC2"/>
    <w:rsid w:val="008E6FD8"/>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D07"/>
    <w:rsid w:val="00944E1A"/>
    <w:rsid w:val="0094526C"/>
    <w:rsid w:val="00946BBC"/>
    <w:rsid w:val="00950962"/>
    <w:rsid w:val="009520F1"/>
    <w:rsid w:val="00952B8A"/>
    <w:rsid w:val="0095468A"/>
    <w:rsid w:val="0095562A"/>
    <w:rsid w:val="00962E59"/>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A438D"/>
    <w:rsid w:val="009B1044"/>
    <w:rsid w:val="009B3C07"/>
    <w:rsid w:val="009B6304"/>
    <w:rsid w:val="009C0CB9"/>
    <w:rsid w:val="009C2950"/>
    <w:rsid w:val="009C51E1"/>
    <w:rsid w:val="009C536C"/>
    <w:rsid w:val="009C5C15"/>
    <w:rsid w:val="009C6FFB"/>
    <w:rsid w:val="009D35E8"/>
    <w:rsid w:val="009D52EB"/>
    <w:rsid w:val="009D580B"/>
    <w:rsid w:val="009D713C"/>
    <w:rsid w:val="009D7EBE"/>
    <w:rsid w:val="009E49C0"/>
    <w:rsid w:val="009E4CBE"/>
    <w:rsid w:val="009E4FE7"/>
    <w:rsid w:val="009E53B0"/>
    <w:rsid w:val="009E6538"/>
    <w:rsid w:val="009F0573"/>
    <w:rsid w:val="009F0831"/>
    <w:rsid w:val="009F0941"/>
    <w:rsid w:val="009F116B"/>
    <w:rsid w:val="009F1522"/>
    <w:rsid w:val="009F1E5D"/>
    <w:rsid w:val="009F31B9"/>
    <w:rsid w:val="009F71B3"/>
    <w:rsid w:val="009F7305"/>
    <w:rsid w:val="00A01054"/>
    <w:rsid w:val="00A02E39"/>
    <w:rsid w:val="00A04379"/>
    <w:rsid w:val="00A04558"/>
    <w:rsid w:val="00A04F9C"/>
    <w:rsid w:val="00A0759F"/>
    <w:rsid w:val="00A11C7A"/>
    <w:rsid w:val="00A130E4"/>
    <w:rsid w:val="00A14EBC"/>
    <w:rsid w:val="00A15983"/>
    <w:rsid w:val="00A24150"/>
    <w:rsid w:val="00A304DE"/>
    <w:rsid w:val="00A31D72"/>
    <w:rsid w:val="00A32070"/>
    <w:rsid w:val="00A33D3A"/>
    <w:rsid w:val="00A353DC"/>
    <w:rsid w:val="00A3563C"/>
    <w:rsid w:val="00A40BA0"/>
    <w:rsid w:val="00A413AD"/>
    <w:rsid w:val="00A42596"/>
    <w:rsid w:val="00A43DCF"/>
    <w:rsid w:val="00A44C02"/>
    <w:rsid w:val="00A4537F"/>
    <w:rsid w:val="00A55AF2"/>
    <w:rsid w:val="00A571CA"/>
    <w:rsid w:val="00A57C7C"/>
    <w:rsid w:val="00A60934"/>
    <w:rsid w:val="00A6158C"/>
    <w:rsid w:val="00A62362"/>
    <w:rsid w:val="00A63A28"/>
    <w:rsid w:val="00A64C86"/>
    <w:rsid w:val="00A67985"/>
    <w:rsid w:val="00A6798F"/>
    <w:rsid w:val="00A7325E"/>
    <w:rsid w:val="00A76DBE"/>
    <w:rsid w:val="00A777EC"/>
    <w:rsid w:val="00A81FB7"/>
    <w:rsid w:val="00A8311E"/>
    <w:rsid w:val="00A84896"/>
    <w:rsid w:val="00A86604"/>
    <w:rsid w:val="00A87C7B"/>
    <w:rsid w:val="00A94584"/>
    <w:rsid w:val="00A95090"/>
    <w:rsid w:val="00A9514D"/>
    <w:rsid w:val="00A96690"/>
    <w:rsid w:val="00A97BF8"/>
    <w:rsid w:val="00AA04CC"/>
    <w:rsid w:val="00AA066D"/>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1B71"/>
    <w:rsid w:val="00AE376A"/>
    <w:rsid w:val="00AE3C80"/>
    <w:rsid w:val="00AE4566"/>
    <w:rsid w:val="00AF0048"/>
    <w:rsid w:val="00AF4D77"/>
    <w:rsid w:val="00AF60AE"/>
    <w:rsid w:val="00AF6742"/>
    <w:rsid w:val="00AF6DBB"/>
    <w:rsid w:val="00B050D3"/>
    <w:rsid w:val="00B05ACB"/>
    <w:rsid w:val="00B05B25"/>
    <w:rsid w:val="00B05CB4"/>
    <w:rsid w:val="00B11E41"/>
    <w:rsid w:val="00B13078"/>
    <w:rsid w:val="00B130F2"/>
    <w:rsid w:val="00B14AF5"/>
    <w:rsid w:val="00B1538B"/>
    <w:rsid w:val="00B16CE3"/>
    <w:rsid w:val="00B1788D"/>
    <w:rsid w:val="00B206F3"/>
    <w:rsid w:val="00B20B88"/>
    <w:rsid w:val="00B2126A"/>
    <w:rsid w:val="00B240D0"/>
    <w:rsid w:val="00B25305"/>
    <w:rsid w:val="00B277E9"/>
    <w:rsid w:val="00B27923"/>
    <w:rsid w:val="00B30F45"/>
    <w:rsid w:val="00B319AF"/>
    <w:rsid w:val="00B31F06"/>
    <w:rsid w:val="00B3300C"/>
    <w:rsid w:val="00B337D5"/>
    <w:rsid w:val="00B35629"/>
    <w:rsid w:val="00B37C19"/>
    <w:rsid w:val="00B407DA"/>
    <w:rsid w:val="00B413A7"/>
    <w:rsid w:val="00B42131"/>
    <w:rsid w:val="00B4226E"/>
    <w:rsid w:val="00B50A51"/>
    <w:rsid w:val="00B548F0"/>
    <w:rsid w:val="00B57FE5"/>
    <w:rsid w:val="00B60110"/>
    <w:rsid w:val="00B61206"/>
    <w:rsid w:val="00B618F7"/>
    <w:rsid w:val="00B65660"/>
    <w:rsid w:val="00B65E1E"/>
    <w:rsid w:val="00B67FA8"/>
    <w:rsid w:val="00B73093"/>
    <w:rsid w:val="00B75570"/>
    <w:rsid w:val="00B757DF"/>
    <w:rsid w:val="00B765D7"/>
    <w:rsid w:val="00B77425"/>
    <w:rsid w:val="00B8042F"/>
    <w:rsid w:val="00B80FDD"/>
    <w:rsid w:val="00B81E4C"/>
    <w:rsid w:val="00B81FC7"/>
    <w:rsid w:val="00B8385A"/>
    <w:rsid w:val="00B838DA"/>
    <w:rsid w:val="00B846F3"/>
    <w:rsid w:val="00B92991"/>
    <w:rsid w:val="00B92F4B"/>
    <w:rsid w:val="00B94A61"/>
    <w:rsid w:val="00B96064"/>
    <w:rsid w:val="00B9652C"/>
    <w:rsid w:val="00B9692F"/>
    <w:rsid w:val="00B97827"/>
    <w:rsid w:val="00BA1072"/>
    <w:rsid w:val="00BA6F0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66D7"/>
    <w:rsid w:val="00BD73CC"/>
    <w:rsid w:val="00BE29DD"/>
    <w:rsid w:val="00BE5364"/>
    <w:rsid w:val="00BE63EF"/>
    <w:rsid w:val="00BF1935"/>
    <w:rsid w:val="00BF268B"/>
    <w:rsid w:val="00BF7A2F"/>
    <w:rsid w:val="00C0043D"/>
    <w:rsid w:val="00C006B0"/>
    <w:rsid w:val="00C0127E"/>
    <w:rsid w:val="00C02E85"/>
    <w:rsid w:val="00C04CEB"/>
    <w:rsid w:val="00C074A2"/>
    <w:rsid w:val="00C142E1"/>
    <w:rsid w:val="00C14F5D"/>
    <w:rsid w:val="00C24153"/>
    <w:rsid w:val="00C249DE"/>
    <w:rsid w:val="00C25111"/>
    <w:rsid w:val="00C253B8"/>
    <w:rsid w:val="00C27A92"/>
    <w:rsid w:val="00C301A2"/>
    <w:rsid w:val="00C3037E"/>
    <w:rsid w:val="00C30491"/>
    <w:rsid w:val="00C30ED0"/>
    <w:rsid w:val="00C31E50"/>
    <w:rsid w:val="00C32F3C"/>
    <w:rsid w:val="00C34B92"/>
    <w:rsid w:val="00C40C85"/>
    <w:rsid w:val="00C41D91"/>
    <w:rsid w:val="00C42A8B"/>
    <w:rsid w:val="00C42B0B"/>
    <w:rsid w:val="00C43A48"/>
    <w:rsid w:val="00C45B5A"/>
    <w:rsid w:val="00C47016"/>
    <w:rsid w:val="00C478DD"/>
    <w:rsid w:val="00C520BF"/>
    <w:rsid w:val="00C53222"/>
    <w:rsid w:val="00C56860"/>
    <w:rsid w:val="00C572CF"/>
    <w:rsid w:val="00C57CA3"/>
    <w:rsid w:val="00C60D58"/>
    <w:rsid w:val="00C61A94"/>
    <w:rsid w:val="00C62A0A"/>
    <w:rsid w:val="00C6340E"/>
    <w:rsid w:val="00C665B6"/>
    <w:rsid w:val="00C66AEC"/>
    <w:rsid w:val="00C67824"/>
    <w:rsid w:val="00C70448"/>
    <w:rsid w:val="00C72138"/>
    <w:rsid w:val="00C72C2E"/>
    <w:rsid w:val="00C72DE3"/>
    <w:rsid w:val="00C75C55"/>
    <w:rsid w:val="00C7683E"/>
    <w:rsid w:val="00C77B2F"/>
    <w:rsid w:val="00C802EE"/>
    <w:rsid w:val="00C8107C"/>
    <w:rsid w:val="00C829FB"/>
    <w:rsid w:val="00C8381D"/>
    <w:rsid w:val="00C83A62"/>
    <w:rsid w:val="00C85E97"/>
    <w:rsid w:val="00C90D34"/>
    <w:rsid w:val="00C94068"/>
    <w:rsid w:val="00C97269"/>
    <w:rsid w:val="00C97B69"/>
    <w:rsid w:val="00CA1045"/>
    <w:rsid w:val="00CA1496"/>
    <w:rsid w:val="00CA2954"/>
    <w:rsid w:val="00CA3FC2"/>
    <w:rsid w:val="00CA4CB3"/>
    <w:rsid w:val="00CA5316"/>
    <w:rsid w:val="00CB0D44"/>
    <w:rsid w:val="00CB415C"/>
    <w:rsid w:val="00CB63DF"/>
    <w:rsid w:val="00CB6C80"/>
    <w:rsid w:val="00CC40C2"/>
    <w:rsid w:val="00CC6B35"/>
    <w:rsid w:val="00CC6DB6"/>
    <w:rsid w:val="00CD04C0"/>
    <w:rsid w:val="00CD1034"/>
    <w:rsid w:val="00CD46C7"/>
    <w:rsid w:val="00CD6B1A"/>
    <w:rsid w:val="00CE0471"/>
    <w:rsid w:val="00CE0D0F"/>
    <w:rsid w:val="00CE2567"/>
    <w:rsid w:val="00CE6A12"/>
    <w:rsid w:val="00CE7B33"/>
    <w:rsid w:val="00CF23C9"/>
    <w:rsid w:val="00CF3ECE"/>
    <w:rsid w:val="00CF41D2"/>
    <w:rsid w:val="00CF56EB"/>
    <w:rsid w:val="00CF5ECC"/>
    <w:rsid w:val="00D0035A"/>
    <w:rsid w:val="00D00B3C"/>
    <w:rsid w:val="00D04FCA"/>
    <w:rsid w:val="00D05BE4"/>
    <w:rsid w:val="00D071B9"/>
    <w:rsid w:val="00D11840"/>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1451"/>
    <w:rsid w:val="00D424E3"/>
    <w:rsid w:val="00D42662"/>
    <w:rsid w:val="00D42AF3"/>
    <w:rsid w:val="00D512B6"/>
    <w:rsid w:val="00D52C2F"/>
    <w:rsid w:val="00D60B40"/>
    <w:rsid w:val="00D6276B"/>
    <w:rsid w:val="00D63D63"/>
    <w:rsid w:val="00D66E80"/>
    <w:rsid w:val="00D674F3"/>
    <w:rsid w:val="00D6756B"/>
    <w:rsid w:val="00D701BC"/>
    <w:rsid w:val="00D71543"/>
    <w:rsid w:val="00D7490D"/>
    <w:rsid w:val="00D75F8F"/>
    <w:rsid w:val="00D76632"/>
    <w:rsid w:val="00D7749F"/>
    <w:rsid w:val="00D77AE7"/>
    <w:rsid w:val="00D8000F"/>
    <w:rsid w:val="00D8136D"/>
    <w:rsid w:val="00D81F96"/>
    <w:rsid w:val="00D821C8"/>
    <w:rsid w:val="00D83973"/>
    <w:rsid w:val="00D858B7"/>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230A"/>
    <w:rsid w:val="00DD6E41"/>
    <w:rsid w:val="00DD74FF"/>
    <w:rsid w:val="00DE3025"/>
    <w:rsid w:val="00DE468F"/>
    <w:rsid w:val="00DE4E25"/>
    <w:rsid w:val="00DE6819"/>
    <w:rsid w:val="00DF19E8"/>
    <w:rsid w:val="00E03811"/>
    <w:rsid w:val="00E03F84"/>
    <w:rsid w:val="00E04EA2"/>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4070"/>
    <w:rsid w:val="00E35411"/>
    <w:rsid w:val="00E37E67"/>
    <w:rsid w:val="00E4028B"/>
    <w:rsid w:val="00E4048A"/>
    <w:rsid w:val="00E408CF"/>
    <w:rsid w:val="00E41569"/>
    <w:rsid w:val="00E41929"/>
    <w:rsid w:val="00E42128"/>
    <w:rsid w:val="00E45AA7"/>
    <w:rsid w:val="00E50120"/>
    <w:rsid w:val="00E51BAD"/>
    <w:rsid w:val="00E52D1B"/>
    <w:rsid w:val="00E5457D"/>
    <w:rsid w:val="00E617F3"/>
    <w:rsid w:val="00E61903"/>
    <w:rsid w:val="00E62095"/>
    <w:rsid w:val="00E66596"/>
    <w:rsid w:val="00E736DC"/>
    <w:rsid w:val="00E740C8"/>
    <w:rsid w:val="00E74332"/>
    <w:rsid w:val="00E74BB0"/>
    <w:rsid w:val="00E74BBE"/>
    <w:rsid w:val="00E76211"/>
    <w:rsid w:val="00E80403"/>
    <w:rsid w:val="00E80CFB"/>
    <w:rsid w:val="00E8179E"/>
    <w:rsid w:val="00E82FDD"/>
    <w:rsid w:val="00E8563B"/>
    <w:rsid w:val="00E86372"/>
    <w:rsid w:val="00E908DA"/>
    <w:rsid w:val="00E910A0"/>
    <w:rsid w:val="00E925DB"/>
    <w:rsid w:val="00E92C72"/>
    <w:rsid w:val="00E932CE"/>
    <w:rsid w:val="00E94563"/>
    <w:rsid w:val="00E9558E"/>
    <w:rsid w:val="00E960CD"/>
    <w:rsid w:val="00E971E7"/>
    <w:rsid w:val="00E9771D"/>
    <w:rsid w:val="00EA3129"/>
    <w:rsid w:val="00EA33A5"/>
    <w:rsid w:val="00EA4B29"/>
    <w:rsid w:val="00EA4D76"/>
    <w:rsid w:val="00EA5264"/>
    <w:rsid w:val="00EB05C0"/>
    <w:rsid w:val="00EB21DE"/>
    <w:rsid w:val="00EB4866"/>
    <w:rsid w:val="00EB6462"/>
    <w:rsid w:val="00EB7838"/>
    <w:rsid w:val="00EB7CDF"/>
    <w:rsid w:val="00EC04F5"/>
    <w:rsid w:val="00EC0C9D"/>
    <w:rsid w:val="00EC1757"/>
    <w:rsid w:val="00EC5F39"/>
    <w:rsid w:val="00ED533B"/>
    <w:rsid w:val="00ED5892"/>
    <w:rsid w:val="00EE0AC3"/>
    <w:rsid w:val="00EE17A9"/>
    <w:rsid w:val="00EE17D7"/>
    <w:rsid w:val="00EE33CE"/>
    <w:rsid w:val="00EE3CD5"/>
    <w:rsid w:val="00EE42C5"/>
    <w:rsid w:val="00EE4801"/>
    <w:rsid w:val="00EE49E6"/>
    <w:rsid w:val="00EE555F"/>
    <w:rsid w:val="00EE6715"/>
    <w:rsid w:val="00EF0BCA"/>
    <w:rsid w:val="00EF1BF6"/>
    <w:rsid w:val="00F012A7"/>
    <w:rsid w:val="00F0327E"/>
    <w:rsid w:val="00F06974"/>
    <w:rsid w:val="00F07012"/>
    <w:rsid w:val="00F0740A"/>
    <w:rsid w:val="00F12AF0"/>
    <w:rsid w:val="00F203B3"/>
    <w:rsid w:val="00F222B3"/>
    <w:rsid w:val="00F2354A"/>
    <w:rsid w:val="00F23C22"/>
    <w:rsid w:val="00F24631"/>
    <w:rsid w:val="00F254A4"/>
    <w:rsid w:val="00F2572B"/>
    <w:rsid w:val="00F30860"/>
    <w:rsid w:val="00F32C78"/>
    <w:rsid w:val="00F336EA"/>
    <w:rsid w:val="00F37787"/>
    <w:rsid w:val="00F409F0"/>
    <w:rsid w:val="00F40D01"/>
    <w:rsid w:val="00F410D4"/>
    <w:rsid w:val="00F4147C"/>
    <w:rsid w:val="00F422D9"/>
    <w:rsid w:val="00F4741C"/>
    <w:rsid w:val="00F51556"/>
    <w:rsid w:val="00F51DFF"/>
    <w:rsid w:val="00F54C48"/>
    <w:rsid w:val="00F56AA6"/>
    <w:rsid w:val="00F611E0"/>
    <w:rsid w:val="00F619BC"/>
    <w:rsid w:val="00F65070"/>
    <w:rsid w:val="00F667D6"/>
    <w:rsid w:val="00F678D1"/>
    <w:rsid w:val="00F71811"/>
    <w:rsid w:val="00F7419A"/>
    <w:rsid w:val="00F747A8"/>
    <w:rsid w:val="00F7720E"/>
    <w:rsid w:val="00F81859"/>
    <w:rsid w:val="00F85F78"/>
    <w:rsid w:val="00F86B37"/>
    <w:rsid w:val="00F90336"/>
    <w:rsid w:val="00F92924"/>
    <w:rsid w:val="00F92DD8"/>
    <w:rsid w:val="00F957A4"/>
    <w:rsid w:val="00F95D29"/>
    <w:rsid w:val="00F9620B"/>
    <w:rsid w:val="00F97BFF"/>
    <w:rsid w:val="00FA124E"/>
    <w:rsid w:val="00FA1560"/>
    <w:rsid w:val="00FA2E31"/>
    <w:rsid w:val="00FA6753"/>
    <w:rsid w:val="00FA753F"/>
    <w:rsid w:val="00FA75E4"/>
    <w:rsid w:val="00FB1C42"/>
    <w:rsid w:val="00FB280C"/>
    <w:rsid w:val="00FB3AF6"/>
    <w:rsid w:val="00FB64A5"/>
    <w:rsid w:val="00FB690B"/>
    <w:rsid w:val="00FB7139"/>
    <w:rsid w:val="00FC056D"/>
    <w:rsid w:val="00FC0EE1"/>
    <w:rsid w:val="00FC1AA3"/>
    <w:rsid w:val="00FC26EF"/>
    <w:rsid w:val="00FC27B2"/>
    <w:rsid w:val="00FC27FA"/>
    <w:rsid w:val="00FC44BE"/>
    <w:rsid w:val="00FC45FA"/>
    <w:rsid w:val="00FC50C3"/>
    <w:rsid w:val="00FC5257"/>
    <w:rsid w:val="00FC6386"/>
    <w:rsid w:val="00FD35F8"/>
    <w:rsid w:val="00FD3753"/>
    <w:rsid w:val="00FD5EAC"/>
    <w:rsid w:val="00FD6676"/>
    <w:rsid w:val="00FD6C8C"/>
    <w:rsid w:val="00FE1AEC"/>
    <w:rsid w:val="00FE3C99"/>
    <w:rsid w:val="00FE73F2"/>
    <w:rsid w:val="00FF02C3"/>
    <w:rsid w:val="00FF249B"/>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49DE"/>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cs="Arial"/>
      <w:b/>
      <w:sz w:val="24"/>
      <w:szCs w:val="24"/>
      <w:lang w:eastAsia="en-US"/>
    </w:rPr>
  </w:style>
  <w:style w:type="character" w:customStyle="1" w:styleId="Heading3Char">
    <w:name w:val="Heading 3 Char"/>
    <w:link w:val="Heading3"/>
    <w:rsid w:val="001C1D01"/>
    <w:rPr>
      <w:rFonts w:ascii="Arial" w:hAnsi="Arial" w:cs="Arial"/>
      <w:sz w:val="24"/>
      <w:szCs w:val="24"/>
      <w:lang w:eastAsia="en-US"/>
    </w:rPr>
  </w:style>
  <w:style w:type="character" w:customStyle="1" w:styleId="Heading4Char">
    <w:name w:val="Heading 4 Char"/>
    <w:aliases w:val="h4 Char"/>
    <w:link w:val="Heading4"/>
    <w:rsid w:val="004F4D21"/>
    <w:rPr>
      <w:rFonts w:ascii="Arial" w:eastAsia="SimSun" w:hAnsi="Arial" w:cs="Times New Roman"/>
      <w:sz w:val="24"/>
      <w:szCs w:val="20"/>
      <w:lang w:val="en-GB" w:eastAsia="en-US"/>
    </w:rPr>
  </w:style>
  <w:style w:type="character" w:customStyle="1" w:styleId="Heading5Char">
    <w:name w:val="Heading 5 Char"/>
    <w:aliases w:val="h5 Char,Heading5 Char"/>
    <w:link w:val="Heading5"/>
    <w:rsid w:val="004F4D21"/>
    <w:rPr>
      <w:rFonts w:ascii="Arial" w:eastAsia="SimSun" w:hAnsi="Arial" w:cs="Times New Roman"/>
      <w:szCs w:val="20"/>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eastAsia="SimSun" w:hAnsi="Arial" w:cs="Times New Roman"/>
      <w:sz w:val="36"/>
      <w:szCs w:val="20"/>
      <w:lang w:val="en-GB" w:eastAsia="en-US"/>
    </w:rPr>
  </w:style>
  <w:style w:type="character" w:customStyle="1" w:styleId="Heading9Char">
    <w:name w:val="Heading 9 Char"/>
    <w:link w:val="Heading9"/>
    <w:rsid w:val="004F4D21"/>
    <w:rPr>
      <w:rFonts w:ascii="Arial" w:eastAsia="SimSun" w:hAnsi="Arial" w:cs="Times New Roman"/>
      <w:sz w:val="36"/>
      <w:szCs w:val="20"/>
      <w:lang w:val="en-GB" w:eastAsia="en-US"/>
    </w:rPr>
  </w:style>
  <w:style w:type="paragraph" w:customStyle="1" w:styleId="References">
    <w:name w:val="References"/>
    <w:basedOn w:val="Normal"/>
    <w:rsid w:val="007E47C9"/>
    <w:pPr>
      <w:numPr>
        <w:numId w:val="4"/>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CF56EB"/>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Revision">
    <w:name w:val="Revision"/>
    <w:hidden/>
    <w:uiPriority w:val="99"/>
    <w:semiHidden/>
    <w:rsid w:val="001D707D"/>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82640375">
      <w:bodyDiv w:val="1"/>
      <w:marLeft w:val="0"/>
      <w:marRight w:val="0"/>
      <w:marTop w:val="0"/>
      <w:marBottom w:val="0"/>
      <w:divBdr>
        <w:top w:val="none" w:sz="0" w:space="0" w:color="auto"/>
        <w:left w:val="none" w:sz="0" w:space="0" w:color="auto"/>
        <w:bottom w:val="none" w:sz="0" w:space="0" w:color="auto"/>
        <w:right w:val="none" w:sz="0" w:space="0" w:color="auto"/>
      </w:divBdr>
      <w:divsChild>
        <w:div w:id="816382468">
          <w:marLeft w:val="1080"/>
          <w:marRight w:val="0"/>
          <w:marTop w:val="100"/>
          <w:marBottom w:val="0"/>
          <w:divBdr>
            <w:top w:val="none" w:sz="0" w:space="0" w:color="auto"/>
            <w:left w:val="none" w:sz="0" w:space="0" w:color="auto"/>
            <w:bottom w:val="none" w:sz="0" w:space="0" w:color="auto"/>
            <w:right w:val="none" w:sz="0" w:space="0" w:color="auto"/>
          </w:divBdr>
        </w:div>
        <w:div w:id="990250434">
          <w:marLeft w:val="1080"/>
          <w:marRight w:val="0"/>
          <w:marTop w:val="100"/>
          <w:marBottom w:val="0"/>
          <w:divBdr>
            <w:top w:val="none" w:sz="0" w:space="0" w:color="auto"/>
            <w:left w:val="none" w:sz="0" w:space="0" w:color="auto"/>
            <w:bottom w:val="none" w:sz="0" w:space="0" w:color="auto"/>
            <w:right w:val="none" w:sz="0" w:space="0" w:color="auto"/>
          </w:divBdr>
        </w:div>
      </w:divsChild>
    </w:div>
    <w:div w:id="170571348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29D83-0F15-4DB8-833A-139935CC1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708</Words>
  <Characters>4041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4740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2018-02-16T01:20:00Z</dcterms:created>
  <dcterms:modified xsi:type="dcterms:W3CDTF">2018-02-19T18:18:00Z</dcterms:modified>
  <cp:category/>
</cp:coreProperties>
</file>